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EFCF" w14:textId="62AF2253" w:rsidR="00915641" w:rsidRPr="00EE52F0" w:rsidRDefault="00915641" w:rsidP="00E4023E">
      <w:pPr>
        <w:pStyle w:val="Heading3"/>
        <w:tabs>
          <w:tab w:val="center" w:pos="4320"/>
          <w:tab w:val="right" w:pos="9639"/>
        </w:tabs>
        <w:jc w:val="both"/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</w:pP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 xml:space="preserve">GML6402  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ab/>
        <w:t xml:space="preserve">Devoir </w:t>
      </w:r>
      <w:r w:rsidR="00764AF6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5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 xml:space="preserve"> 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ab/>
        <w:t xml:space="preserve">Automne </w:t>
      </w:r>
      <w:r w:rsidR="0019134E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20</w:t>
      </w:r>
      <w:r w:rsidR="00EE52F0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24</w:t>
      </w:r>
    </w:p>
    <w:p w14:paraId="0069A24F" w14:textId="77777777" w:rsidR="00915641" w:rsidRPr="00EE52F0" w:rsidRDefault="00915641" w:rsidP="00915641">
      <w:pPr>
        <w:jc w:val="both"/>
        <w:rPr>
          <w:lang w:val="fr-CA"/>
        </w:rPr>
      </w:pPr>
    </w:p>
    <w:p w14:paraId="136231A8" w14:textId="6ADB4A38" w:rsidR="003A5513" w:rsidRPr="003A5513" w:rsidRDefault="003A5513" w:rsidP="003A5513">
      <w:pPr>
        <w:ind w:left="1410" w:hanging="1410"/>
        <w:jc w:val="both"/>
        <w:rPr>
          <w:szCs w:val="22"/>
          <w:lang w:val="fr-CA"/>
        </w:rPr>
      </w:pPr>
      <w:r w:rsidRPr="003A5513">
        <w:rPr>
          <w:szCs w:val="22"/>
          <w:lang w:val="fr-CA"/>
        </w:rPr>
        <w:t>Objectifs :</w:t>
      </w:r>
      <w:r w:rsidRPr="003A5513">
        <w:rPr>
          <w:szCs w:val="22"/>
          <w:lang w:val="fr-CA"/>
        </w:rPr>
        <w:tab/>
      </w:r>
      <w:r w:rsidRPr="00EE52F0">
        <w:rPr>
          <w:lang w:val="fr-CA"/>
        </w:rPr>
        <w:t>Assimiler la théorie propre au krigeage d’indicatrice</w:t>
      </w:r>
    </w:p>
    <w:p w14:paraId="3917AE1B" w14:textId="13AA0C96" w:rsidR="003A5513" w:rsidRPr="003A5513" w:rsidRDefault="003A5513" w:rsidP="003A5513">
      <w:pPr>
        <w:ind w:left="1410" w:hanging="1410"/>
        <w:jc w:val="both"/>
        <w:rPr>
          <w:szCs w:val="22"/>
          <w:lang w:val="fr-CA"/>
        </w:rPr>
      </w:pPr>
      <w:r w:rsidRPr="003A5513">
        <w:rPr>
          <w:szCs w:val="22"/>
          <w:lang w:val="fr-CA"/>
        </w:rPr>
        <w:tab/>
      </w:r>
    </w:p>
    <w:p w14:paraId="42F5DBB0" w14:textId="77777777" w:rsidR="00915641" w:rsidRPr="00EE52F0" w:rsidRDefault="00915641" w:rsidP="00915641">
      <w:pPr>
        <w:pBdr>
          <w:bottom w:val="single" w:sz="4" w:space="1" w:color="auto"/>
        </w:pBdr>
        <w:jc w:val="both"/>
        <w:rPr>
          <w:lang w:val="fr-CA"/>
        </w:rPr>
      </w:pPr>
    </w:p>
    <w:p w14:paraId="1DDC91A0" w14:textId="054665AC" w:rsidR="003A5513" w:rsidRPr="003A5513" w:rsidRDefault="003A5513" w:rsidP="003A5513">
      <w:pPr>
        <w:pBdr>
          <w:bottom w:val="single" w:sz="4" w:space="1" w:color="auto"/>
        </w:pBdr>
        <w:jc w:val="both"/>
        <w:rPr>
          <w:lang w:val="fr-CA"/>
        </w:rPr>
      </w:pPr>
      <w:r w:rsidRPr="003A5513">
        <w:rPr>
          <w:lang w:val="fr-CA"/>
        </w:rPr>
        <w:t xml:space="preserve">À remettre le mardi </w:t>
      </w:r>
      <w:r w:rsidR="0014402B">
        <w:rPr>
          <w:lang w:val="fr-CA"/>
        </w:rPr>
        <w:t>22</w:t>
      </w:r>
      <w:r>
        <w:rPr>
          <w:lang w:val="fr-CA"/>
        </w:rPr>
        <w:t xml:space="preserve"> octobre</w:t>
      </w:r>
      <w:r w:rsidRPr="003A5513">
        <w:rPr>
          <w:lang w:val="fr-CA"/>
        </w:rPr>
        <w:t xml:space="preserve"> en papier (ou par courriel) avant le début du cours.</w:t>
      </w:r>
    </w:p>
    <w:p w14:paraId="45BACA6A" w14:textId="77777777" w:rsidR="00915641" w:rsidRPr="00EE52F0" w:rsidRDefault="00915641" w:rsidP="00915641">
      <w:pPr>
        <w:pBdr>
          <w:bottom w:val="single" w:sz="4" w:space="1" w:color="auto"/>
        </w:pBdr>
        <w:jc w:val="both"/>
        <w:rPr>
          <w:lang w:val="fr-CA"/>
        </w:rPr>
      </w:pPr>
    </w:p>
    <w:p w14:paraId="29F412F6" w14:textId="77777777" w:rsidR="00A7126F" w:rsidRPr="00EE52F0" w:rsidRDefault="00A7126F">
      <w:pPr>
        <w:rPr>
          <w:lang w:val="fr-CA"/>
        </w:rPr>
      </w:pPr>
    </w:p>
    <w:p w14:paraId="138821AA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vertAlign w:val="subscript"/>
          <w:lang w:val="fr-CA"/>
        </w:rPr>
      </w:pPr>
      <w:r w:rsidRPr="00EE52F0">
        <w:rPr>
          <w:spacing w:val="-3"/>
          <w:lang w:val="fr-CA"/>
        </w:rPr>
        <w:t>1- Soit une configuration de valeurs observées Z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 xml:space="preserve"> à Z</w:t>
      </w:r>
      <w:r w:rsidRPr="00EE52F0">
        <w:rPr>
          <w:spacing w:val="-3"/>
          <w:vertAlign w:val="subscript"/>
          <w:lang w:val="fr-CA"/>
        </w:rPr>
        <w:t>4</w:t>
      </w:r>
      <w:r w:rsidRPr="00EE52F0">
        <w:rPr>
          <w:spacing w:val="-3"/>
          <w:lang w:val="fr-CA"/>
        </w:rPr>
        <w:t>, on désire effectuer le KI 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 xml:space="preserve"> situé au centre du rectangle formé par x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>2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>3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 xml:space="preserve">4. </w:t>
      </w:r>
    </w:p>
    <w:p w14:paraId="6880365F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19B2BC85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78F70444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>=2.2</w:t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2</w:t>
      </w:r>
      <w:r w:rsidRPr="00EE52F0">
        <w:rPr>
          <w:spacing w:val="-3"/>
          <w:lang w:val="fr-CA"/>
        </w:rPr>
        <w:t>=5.1</w:t>
      </w:r>
    </w:p>
    <w:p w14:paraId="376BAF9F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  <w:t>x</w:t>
      </w:r>
      <w:r w:rsidRPr="00EE52F0">
        <w:rPr>
          <w:spacing w:val="-3"/>
          <w:vertAlign w:val="subscript"/>
          <w:lang w:val="fr-CA"/>
        </w:rPr>
        <w:t>0</w:t>
      </w:r>
    </w:p>
    <w:p w14:paraId="393D379C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3</w:t>
      </w:r>
      <w:r w:rsidRPr="00EE52F0">
        <w:rPr>
          <w:spacing w:val="-3"/>
          <w:lang w:val="fr-CA"/>
        </w:rPr>
        <w:t>=6.4</w:t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4</w:t>
      </w:r>
      <w:r w:rsidRPr="00EE52F0">
        <w:rPr>
          <w:spacing w:val="-3"/>
          <w:lang w:val="fr-CA"/>
        </w:rPr>
        <w:t>=4.7</w:t>
      </w:r>
    </w:p>
    <w:p w14:paraId="7C8B3522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038254EA" w14:textId="28DDEB93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>Supposons que l'on choisit les seuils aux valeurs 1,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2,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3,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4,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5,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6,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7.</w:t>
      </w:r>
      <w:r w:rsidR="00100AEF" w:rsidRPr="00EE52F0">
        <w:rPr>
          <w:spacing w:val="-3"/>
          <w:lang w:val="fr-CA"/>
        </w:rPr>
        <w:t xml:space="preserve"> Pour répondre aux questions suivantes, vous pouvez effectuer des interpolations linéaires entre les seuils pour déterminer I(x</w:t>
      </w:r>
      <w:r w:rsidR="00100AEF" w:rsidRPr="00EE52F0">
        <w:rPr>
          <w:spacing w:val="-3"/>
          <w:vertAlign w:val="subscript"/>
          <w:lang w:val="fr-CA"/>
        </w:rPr>
        <w:t>0</w:t>
      </w:r>
      <w:r w:rsidR="00100AEF" w:rsidRPr="00EE52F0">
        <w:rPr>
          <w:spacing w:val="-3"/>
          <w:lang w:val="fr-CA"/>
        </w:rPr>
        <w:t xml:space="preserve">, c) . </w:t>
      </w:r>
    </w:p>
    <w:p w14:paraId="3A00365A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3531EE04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  <w:r w:rsidRPr="00EE52F0">
        <w:rPr>
          <w:spacing w:val="-3"/>
          <w:lang w:val="fr-CA"/>
        </w:rPr>
        <w:t>a) Quelles seraient les valeurs estimées I(x</w:t>
      </w:r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 xml:space="preserve">,c)* pour les différents seuils </w:t>
      </w:r>
      <w:r w:rsidR="00100AEF" w:rsidRPr="00EE52F0">
        <w:rPr>
          <w:lang w:val="fr-CA"/>
        </w:rPr>
        <w:t>1, 2, 3, 4, 5, 6, 7</w:t>
      </w:r>
      <w:r w:rsidRPr="00EE52F0">
        <w:rPr>
          <w:lang w:val="fr-CA"/>
        </w:rPr>
        <w:t>?</w:t>
      </w:r>
    </w:p>
    <w:p w14:paraId="5784E8B1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20DFB4F4" w14:textId="77777777" w:rsidR="00A7126F" w:rsidRPr="00EE52F0" w:rsidRDefault="00A7126F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lang w:val="fr-CA"/>
        </w:rPr>
      </w:pPr>
      <w:r w:rsidRPr="00EE52F0">
        <w:rPr>
          <w:lang w:val="fr-CA"/>
        </w:rPr>
        <w:t xml:space="preserve">b) </w:t>
      </w:r>
      <w:r w:rsidRPr="00EE52F0">
        <w:rPr>
          <w:spacing w:val="-3"/>
          <w:lang w:val="fr-CA"/>
        </w:rPr>
        <w:t>Quelle est la probabilité</w:t>
      </w:r>
      <w:r w:rsidR="009D54EB" w:rsidRPr="00EE52F0">
        <w:rPr>
          <w:spacing w:val="-3"/>
          <w:lang w:val="fr-CA"/>
        </w:rPr>
        <w:t xml:space="preserve"> estimée</w:t>
      </w:r>
      <w:r w:rsidRPr="00EE52F0">
        <w:rPr>
          <w:spacing w:val="-3"/>
          <w:lang w:val="fr-CA"/>
        </w:rPr>
        <w:t xml:space="preserve"> qu'au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 xml:space="preserve"> la valeur Z soit supérieure à </w:t>
      </w:r>
      <w:r w:rsidR="00D274F1" w:rsidRPr="00EE52F0">
        <w:rPr>
          <w:spacing w:val="-3"/>
          <w:lang w:val="fr-CA"/>
        </w:rPr>
        <w:t xml:space="preserve">i) </w:t>
      </w:r>
      <w:r w:rsidRPr="00EE52F0">
        <w:rPr>
          <w:spacing w:val="-3"/>
          <w:lang w:val="fr-CA"/>
        </w:rPr>
        <w:t xml:space="preserve">3.5, </w:t>
      </w:r>
      <w:r w:rsidR="00D274F1" w:rsidRPr="00EE52F0">
        <w:rPr>
          <w:spacing w:val="-3"/>
          <w:lang w:val="fr-CA"/>
        </w:rPr>
        <w:t xml:space="preserve">ii) </w:t>
      </w:r>
      <w:r w:rsidRPr="00EE52F0">
        <w:rPr>
          <w:spacing w:val="-3"/>
          <w:lang w:val="fr-CA"/>
        </w:rPr>
        <w:t>4.3</w:t>
      </w:r>
      <w:r w:rsidR="00100AEF" w:rsidRP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?</w:t>
      </w:r>
    </w:p>
    <w:p w14:paraId="412DC8A3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1476E072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  <w:r w:rsidRPr="00EE52F0">
        <w:rPr>
          <w:lang w:val="fr-CA"/>
        </w:rPr>
        <w:t xml:space="preserve">c) </w:t>
      </w:r>
      <w:r w:rsidRPr="00EE52F0">
        <w:rPr>
          <w:spacing w:val="-3"/>
          <w:lang w:val="fr-CA"/>
        </w:rPr>
        <w:t>Quelle est la médiane de la distribution 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>? Quelle est la valeur correspondant au 65</w:t>
      </w:r>
      <w:r w:rsidRPr="00EE52F0">
        <w:rPr>
          <w:spacing w:val="-3"/>
          <w:vertAlign w:val="superscript"/>
          <w:lang w:val="fr-CA"/>
        </w:rPr>
        <w:t>e</w:t>
      </w:r>
      <w:r w:rsidRPr="00EE52F0">
        <w:rPr>
          <w:spacing w:val="-3"/>
          <w:lang w:val="fr-CA"/>
        </w:rPr>
        <w:t xml:space="preserve"> percentile de la distribution?</w:t>
      </w:r>
    </w:p>
    <w:p w14:paraId="2F8D36FA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54ABBF55" w14:textId="65D59140" w:rsidR="00A7126F" w:rsidRPr="008C18D1" w:rsidRDefault="00A7126F" w:rsidP="008C18D1">
      <w:pPr>
        <w:tabs>
          <w:tab w:val="left" w:pos="-720"/>
          <w:tab w:val="left" w:pos="0"/>
        </w:tabs>
        <w:suppressAutoHyphens/>
        <w:ind w:left="270" w:hanging="270"/>
        <w:jc w:val="both"/>
        <w:rPr>
          <w:spacing w:val="-3"/>
          <w:lang w:val="fr-CA"/>
        </w:rPr>
      </w:pPr>
      <w:r w:rsidRPr="00EE52F0">
        <w:rPr>
          <w:lang w:val="fr-CA"/>
        </w:rPr>
        <w:t xml:space="preserve">d) </w:t>
      </w:r>
      <w:r w:rsidRPr="00EE52F0">
        <w:rPr>
          <w:spacing w:val="-3"/>
          <w:lang w:val="fr-CA"/>
        </w:rPr>
        <w:t>Quelle est l'espérance mathématique de Z au point x</w:t>
      </w:r>
      <w:r w:rsidRPr="00EE52F0">
        <w:rPr>
          <w:spacing w:val="-3"/>
          <w:vertAlign w:val="subscript"/>
          <w:lang w:val="fr-CA"/>
        </w:rPr>
        <w:t xml:space="preserve">0 </w:t>
      </w:r>
      <w:r w:rsidRPr="00EE52F0">
        <w:rPr>
          <w:lang w:val="fr-CA"/>
        </w:rPr>
        <w:t xml:space="preserve">(représentez chaque classe </w:t>
      </w:r>
      <w:r w:rsidR="009D54EB" w:rsidRPr="00EE52F0">
        <w:rPr>
          <w:lang w:val="fr-CA"/>
        </w:rPr>
        <w:t xml:space="preserve">[0-1[, [1-2[,… </w:t>
      </w:r>
      <w:r w:rsidRPr="00EE52F0">
        <w:rPr>
          <w:lang w:val="fr-CA"/>
        </w:rPr>
        <w:t>par la valeur centrale de la classe)?</w:t>
      </w:r>
      <w:r w:rsidRPr="00EE52F0">
        <w:rPr>
          <w:spacing w:val="-3"/>
          <w:lang w:val="fr-CA"/>
        </w:rPr>
        <w:t xml:space="preserve"> Comparez avec l’estimation obtenue par krigeage ordinaire</w:t>
      </w:r>
      <w:r w:rsidR="00100AEF" w:rsidRPr="00EE52F0">
        <w:rPr>
          <w:spacing w:val="-3"/>
          <w:lang w:val="fr-CA"/>
        </w:rPr>
        <w:t xml:space="preserve"> (i.e. ici moyenne </w:t>
      </w:r>
      <w:r w:rsidR="0033243A" w:rsidRPr="00EE52F0">
        <w:rPr>
          <w:spacing w:val="-3"/>
          <w:lang w:val="fr-CA"/>
        </w:rPr>
        <w:t>arithmétique</w:t>
      </w:r>
      <w:r w:rsidR="00100AEF" w:rsidRPr="00EE52F0">
        <w:rPr>
          <w:spacing w:val="-3"/>
          <w:lang w:val="fr-CA"/>
        </w:rPr>
        <w:t>)</w:t>
      </w:r>
      <w:r w:rsidRPr="00EE52F0">
        <w:rPr>
          <w:spacing w:val="-3"/>
          <w:lang w:val="fr-CA"/>
        </w:rPr>
        <w:t>.</w:t>
      </w:r>
    </w:p>
    <w:p w14:paraId="5BD80E2C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0AA49637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6723627E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>2- Un sol de la région de Montréal est contaminé au plomb dû à la présence d’une usine de recyclage de batteries automobiles. Deux cents analyses de la concentration en plomb sont disponibles et la fonction de répartition est illustrée à la figure suivante :</w:t>
      </w:r>
    </w:p>
    <w:p w14:paraId="5386638C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p w14:paraId="65A5E1A7" w14:textId="77777777" w:rsidR="00A7126F" w:rsidRPr="00EE52F0" w:rsidRDefault="00000000">
      <w:pPr>
        <w:tabs>
          <w:tab w:val="center" w:pos="4320"/>
          <w:tab w:val="right" w:pos="8910"/>
        </w:tabs>
        <w:ind w:left="284" w:hanging="284"/>
        <w:jc w:val="center"/>
      </w:pPr>
      <w:r>
        <w:pict w14:anchorId="09B86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5pt;height:202.5pt">
            <v:imagedata r:id="rId7" o:title=""/>
          </v:shape>
        </w:pict>
      </w:r>
    </w:p>
    <w:p w14:paraId="27CE9DCF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</w:p>
    <w:p w14:paraId="3C88D562" w14:textId="77777777" w:rsidR="00A7126F" w:rsidRPr="00EE52F0" w:rsidRDefault="00E4023E" w:rsidP="00E4023E">
      <w:pPr>
        <w:tabs>
          <w:tab w:val="center" w:pos="4320"/>
          <w:tab w:val="right" w:pos="9639"/>
        </w:tabs>
        <w:ind w:left="284" w:hanging="284"/>
        <w:jc w:val="both"/>
      </w:pPr>
      <w:r w:rsidRPr="00EE52F0">
        <w:br w:type="page"/>
      </w:r>
    </w:p>
    <w:p w14:paraId="686ED981" w14:textId="77777777" w:rsidR="00A7126F" w:rsidRPr="0014402B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14402B">
        <w:rPr>
          <w:lang w:val="fr-CA"/>
        </w:rPr>
        <w:t xml:space="preserve"> </w:t>
      </w:r>
    </w:p>
    <w:p w14:paraId="7F9B1FF2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>a) Indiquez quels sont les paliers attendus pour les indicatrices correspondant aux seuils suivants : 100 ppm, 200 ppm, et 400 ppm.</w:t>
      </w:r>
    </w:p>
    <w:p w14:paraId="7D25914E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25444A0F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>b) Quelles sont les unités des variogrammes d’indicatrices ?</w:t>
      </w:r>
    </w:p>
    <w:p w14:paraId="47D9EA81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0E063487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p w14:paraId="1F19D478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</w:r>
      <w:r w:rsidRPr="00EE52F0">
        <w:rPr>
          <w:lang w:val="fr-CA"/>
        </w:rPr>
        <w:tab/>
        <w:t xml:space="preserve">Le tableau suivant donne l’emplacement et les valeurs de Pb (en ppm)  de 4 observations.  </w:t>
      </w:r>
    </w:p>
    <w:p w14:paraId="3CF8C6A0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688"/>
        <w:gridCol w:w="1584"/>
        <w:gridCol w:w="1576"/>
        <w:gridCol w:w="876"/>
      </w:tblGrid>
      <w:tr w:rsidR="00A7126F" w:rsidRPr="00EE52F0" w14:paraId="0B992B41" w14:textId="77777777">
        <w:trPr>
          <w:jc w:val="center"/>
        </w:trPr>
        <w:tc>
          <w:tcPr>
            <w:tcW w:w="1688" w:type="dxa"/>
            <w:tcBorders>
              <w:bottom w:val="single" w:sz="6" w:space="0" w:color="008000"/>
            </w:tcBorders>
          </w:tcPr>
          <w:p w14:paraId="2EE8C975" w14:textId="77777777" w:rsidR="00A7126F" w:rsidRPr="00EE52F0" w:rsidRDefault="00A7126F">
            <w:pPr>
              <w:pStyle w:val="Heading4"/>
              <w:rPr>
                <w:rFonts w:ascii="Times New Roman" w:hAnsi="Times New Roman" w:cs="Times New Roman"/>
                <w:sz w:val="22"/>
              </w:rPr>
            </w:pPr>
            <w:r w:rsidRPr="00EE52F0">
              <w:rPr>
                <w:rFonts w:ascii="Times New Roman" w:hAnsi="Times New Roman" w:cs="Times New Roman"/>
                <w:sz w:val="22"/>
              </w:rPr>
              <w:t xml:space="preserve">Point </w:t>
            </w:r>
          </w:p>
        </w:tc>
        <w:tc>
          <w:tcPr>
            <w:tcW w:w="1584" w:type="dxa"/>
            <w:tcBorders>
              <w:bottom w:val="single" w:sz="6" w:space="0" w:color="008000"/>
            </w:tcBorders>
          </w:tcPr>
          <w:p w14:paraId="3385657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Coord. x (m)</w:t>
            </w:r>
          </w:p>
        </w:tc>
        <w:tc>
          <w:tcPr>
            <w:tcW w:w="1576" w:type="dxa"/>
            <w:tcBorders>
              <w:bottom w:val="single" w:sz="6" w:space="0" w:color="008000"/>
            </w:tcBorders>
          </w:tcPr>
          <w:p w14:paraId="1F928FE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Coord. y (m)</w:t>
            </w:r>
          </w:p>
        </w:tc>
        <w:tc>
          <w:tcPr>
            <w:tcW w:w="876" w:type="dxa"/>
            <w:tcBorders>
              <w:bottom w:val="single" w:sz="6" w:space="0" w:color="008000"/>
            </w:tcBorders>
          </w:tcPr>
          <w:p w14:paraId="54A651B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Pb ppm</w:t>
            </w:r>
          </w:p>
        </w:tc>
      </w:tr>
      <w:tr w:rsidR="00A7126F" w:rsidRPr="00EE52F0" w14:paraId="18A891D3" w14:textId="77777777">
        <w:trPr>
          <w:jc w:val="center"/>
        </w:trPr>
        <w:tc>
          <w:tcPr>
            <w:tcW w:w="1688" w:type="dxa"/>
            <w:tcBorders>
              <w:top w:val="single" w:sz="6" w:space="0" w:color="008000"/>
            </w:tcBorders>
          </w:tcPr>
          <w:p w14:paraId="0E1D0D52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6" w:space="0" w:color="008000"/>
            </w:tcBorders>
          </w:tcPr>
          <w:p w14:paraId="0B94B8D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200</w:t>
            </w:r>
          </w:p>
        </w:tc>
        <w:tc>
          <w:tcPr>
            <w:tcW w:w="1576" w:type="dxa"/>
            <w:tcBorders>
              <w:top w:val="single" w:sz="6" w:space="0" w:color="008000"/>
            </w:tcBorders>
          </w:tcPr>
          <w:p w14:paraId="6382DBF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400</w:t>
            </w:r>
          </w:p>
        </w:tc>
        <w:tc>
          <w:tcPr>
            <w:tcW w:w="876" w:type="dxa"/>
            <w:tcBorders>
              <w:top w:val="single" w:sz="6" w:space="0" w:color="008000"/>
            </w:tcBorders>
          </w:tcPr>
          <w:p w14:paraId="2E3DEC8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120</w:t>
            </w:r>
          </w:p>
        </w:tc>
      </w:tr>
      <w:tr w:rsidR="00A7126F" w:rsidRPr="00EE52F0" w14:paraId="06554A52" w14:textId="77777777">
        <w:trPr>
          <w:jc w:val="center"/>
        </w:trPr>
        <w:tc>
          <w:tcPr>
            <w:tcW w:w="1688" w:type="dxa"/>
          </w:tcPr>
          <w:p w14:paraId="15EF12C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2</w:t>
            </w:r>
          </w:p>
        </w:tc>
        <w:tc>
          <w:tcPr>
            <w:tcW w:w="1584" w:type="dxa"/>
          </w:tcPr>
          <w:p w14:paraId="0FAF84C8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600</w:t>
            </w:r>
          </w:p>
        </w:tc>
        <w:tc>
          <w:tcPr>
            <w:tcW w:w="1576" w:type="dxa"/>
          </w:tcPr>
          <w:p w14:paraId="5B859A2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400</w:t>
            </w:r>
          </w:p>
        </w:tc>
        <w:tc>
          <w:tcPr>
            <w:tcW w:w="876" w:type="dxa"/>
          </w:tcPr>
          <w:p w14:paraId="2F77145F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55</w:t>
            </w:r>
          </w:p>
        </w:tc>
      </w:tr>
      <w:tr w:rsidR="00A7126F" w:rsidRPr="00EE52F0" w14:paraId="266AC459" w14:textId="77777777">
        <w:trPr>
          <w:jc w:val="center"/>
        </w:trPr>
        <w:tc>
          <w:tcPr>
            <w:tcW w:w="1688" w:type="dxa"/>
          </w:tcPr>
          <w:p w14:paraId="1110DC0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3</w:t>
            </w:r>
          </w:p>
        </w:tc>
        <w:tc>
          <w:tcPr>
            <w:tcW w:w="1584" w:type="dxa"/>
          </w:tcPr>
          <w:p w14:paraId="4ED66AEF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500</w:t>
            </w:r>
          </w:p>
        </w:tc>
        <w:tc>
          <w:tcPr>
            <w:tcW w:w="1576" w:type="dxa"/>
          </w:tcPr>
          <w:p w14:paraId="12D143F8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650</w:t>
            </w:r>
          </w:p>
        </w:tc>
        <w:tc>
          <w:tcPr>
            <w:tcW w:w="876" w:type="dxa"/>
          </w:tcPr>
          <w:p w14:paraId="01293F3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253</w:t>
            </w:r>
          </w:p>
        </w:tc>
      </w:tr>
      <w:tr w:rsidR="00A7126F" w:rsidRPr="00EE52F0" w14:paraId="340B429E" w14:textId="77777777">
        <w:trPr>
          <w:jc w:val="center"/>
        </w:trPr>
        <w:tc>
          <w:tcPr>
            <w:tcW w:w="1688" w:type="dxa"/>
          </w:tcPr>
          <w:p w14:paraId="68FB59F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4</w:t>
            </w:r>
          </w:p>
        </w:tc>
        <w:tc>
          <w:tcPr>
            <w:tcW w:w="1584" w:type="dxa"/>
          </w:tcPr>
          <w:p w14:paraId="0DB7DAC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550</w:t>
            </w:r>
          </w:p>
        </w:tc>
        <w:tc>
          <w:tcPr>
            <w:tcW w:w="1576" w:type="dxa"/>
          </w:tcPr>
          <w:p w14:paraId="614FAA6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450</w:t>
            </w:r>
          </w:p>
        </w:tc>
        <w:tc>
          <w:tcPr>
            <w:tcW w:w="876" w:type="dxa"/>
          </w:tcPr>
          <w:p w14:paraId="4849032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437</w:t>
            </w:r>
          </w:p>
        </w:tc>
      </w:tr>
    </w:tbl>
    <w:p w14:paraId="2F077181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</w:p>
    <w:p w14:paraId="4B9A2DFD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  <w:t xml:space="preserve">Le tableau suivant donne les poids obtenus par </w:t>
      </w:r>
      <w:r w:rsidRPr="00EE52F0">
        <w:rPr>
          <w:u w:val="single"/>
          <w:lang w:val="fr-CA"/>
        </w:rPr>
        <w:t>KI simple</w:t>
      </w:r>
      <w:r w:rsidRPr="00EE52F0">
        <w:rPr>
          <w:lang w:val="fr-CA"/>
        </w:rPr>
        <w:t xml:space="preserve"> pour les divers seuils utilisés lors de l’estimation au point x</w:t>
      </w:r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 xml:space="preserve"> de coordonnée (500,500); la dernière colonne donne la distance entre les points x</w:t>
      </w:r>
      <w:r w:rsidRPr="00EE52F0">
        <w:rPr>
          <w:vertAlign w:val="subscript"/>
          <w:lang w:val="fr-CA"/>
        </w:rPr>
        <w:t>i</w:t>
      </w:r>
      <w:r w:rsidRPr="00EE52F0">
        <w:rPr>
          <w:lang w:val="fr-CA"/>
        </w:rPr>
        <w:t xml:space="preserve"> (i=1...4) et le point x</w:t>
      </w:r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> :</w:t>
      </w:r>
    </w:p>
    <w:p w14:paraId="74E331BA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52"/>
        <w:gridCol w:w="1353"/>
        <w:gridCol w:w="1353"/>
        <w:gridCol w:w="1354"/>
        <w:gridCol w:w="1262"/>
        <w:gridCol w:w="1354"/>
      </w:tblGrid>
      <w:tr w:rsidR="00A7126F" w:rsidRPr="00EE52F0" w14:paraId="334D59D2" w14:textId="77777777">
        <w:tc>
          <w:tcPr>
            <w:tcW w:w="1320" w:type="dxa"/>
          </w:tcPr>
          <w:p w14:paraId="4AF79F3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fr-CA"/>
              </w:rPr>
            </w:pPr>
          </w:p>
        </w:tc>
        <w:tc>
          <w:tcPr>
            <w:tcW w:w="1352" w:type="dxa"/>
          </w:tcPr>
          <w:p w14:paraId="18A3B12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100 ppm</w:t>
            </w:r>
          </w:p>
        </w:tc>
        <w:tc>
          <w:tcPr>
            <w:tcW w:w="1353" w:type="dxa"/>
          </w:tcPr>
          <w:p w14:paraId="5AD043D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200 ppm</w:t>
            </w:r>
          </w:p>
        </w:tc>
        <w:tc>
          <w:tcPr>
            <w:tcW w:w="1353" w:type="dxa"/>
          </w:tcPr>
          <w:p w14:paraId="02C86A8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300 ppm</w:t>
            </w:r>
          </w:p>
        </w:tc>
        <w:tc>
          <w:tcPr>
            <w:tcW w:w="1354" w:type="dxa"/>
          </w:tcPr>
          <w:p w14:paraId="5DAC60F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400 ppm</w:t>
            </w:r>
          </w:p>
        </w:tc>
        <w:tc>
          <w:tcPr>
            <w:tcW w:w="1262" w:type="dxa"/>
          </w:tcPr>
          <w:p w14:paraId="3910B0F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500 ppm</w:t>
            </w:r>
          </w:p>
        </w:tc>
        <w:tc>
          <w:tcPr>
            <w:tcW w:w="1354" w:type="dxa"/>
          </w:tcPr>
          <w:p w14:paraId="5062887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 xml:space="preserve">distance </w:t>
            </w:r>
          </w:p>
          <w:p w14:paraId="6F19292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 xml:space="preserve"> x</w:t>
            </w:r>
            <w:r w:rsidRPr="00EE52F0">
              <w:rPr>
                <w:vertAlign w:val="subscript"/>
              </w:rPr>
              <w:t>i</w:t>
            </w:r>
            <w:r w:rsidRPr="00EE52F0">
              <w:t>-x</w:t>
            </w:r>
            <w:r w:rsidRPr="00EE52F0">
              <w:rPr>
                <w:vertAlign w:val="subscript"/>
              </w:rPr>
              <w:t xml:space="preserve">0 </w:t>
            </w:r>
            <w:r w:rsidRPr="00EE52F0">
              <w:t>(m)</w:t>
            </w:r>
          </w:p>
        </w:tc>
      </w:tr>
      <w:tr w:rsidR="00A7126F" w:rsidRPr="00EE52F0" w14:paraId="48DEFBF6" w14:textId="77777777">
        <w:tc>
          <w:tcPr>
            <w:tcW w:w="1320" w:type="dxa"/>
          </w:tcPr>
          <w:p w14:paraId="397BA93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260" w:dyaOrig="340" w14:anchorId="3A18E572">
                <v:shape id="_x0000_i1026" type="#_x0000_t75" style="width:13pt;height:17pt" o:ole="">
                  <v:imagedata r:id="rId8" o:title=""/>
                </v:shape>
                <o:OLEObject Type="Embed" ProgID="Equation.3" ShapeID="_x0000_i1026" DrawAspect="Content" ObjectID="_1781356030" r:id="rId9"/>
              </w:object>
            </w:r>
          </w:p>
        </w:tc>
        <w:tc>
          <w:tcPr>
            <w:tcW w:w="1352" w:type="dxa"/>
          </w:tcPr>
          <w:p w14:paraId="5817EB0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3" w:type="dxa"/>
          </w:tcPr>
          <w:p w14:paraId="28A0B7B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0.08</w:t>
            </w:r>
          </w:p>
        </w:tc>
        <w:tc>
          <w:tcPr>
            <w:tcW w:w="1353" w:type="dxa"/>
          </w:tcPr>
          <w:p w14:paraId="38B50CE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14BD95F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262" w:type="dxa"/>
          </w:tcPr>
          <w:p w14:paraId="482F3BF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571B2EC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316.2</w:t>
            </w:r>
          </w:p>
        </w:tc>
      </w:tr>
      <w:tr w:rsidR="00A7126F" w:rsidRPr="00EE52F0" w14:paraId="0B713253" w14:textId="77777777">
        <w:tc>
          <w:tcPr>
            <w:tcW w:w="1320" w:type="dxa"/>
          </w:tcPr>
          <w:p w14:paraId="2D74DA8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300" w:dyaOrig="340" w14:anchorId="6827275F">
                <v:shape id="_x0000_i1027" type="#_x0000_t75" style="width:15pt;height:17pt" o:ole="">
                  <v:imagedata r:id="rId10" o:title=""/>
                </v:shape>
                <o:OLEObject Type="Embed" ProgID="Equation.3" ShapeID="_x0000_i1027" DrawAspect="Content" ObjectID="_1781356031" r:id="rId11"/>
              </w:object>
            </w:r>
          </w:p>
        </w:tc>
        <w:tc>
          <w:tcPr>
            <w:tcW w:w="1352" w:type="dxa"/>
          </w:tcPr>
          <w:p w14:paraId="76EFE51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-0.11</w:t>
            </w:r>
          </w:p>
        </w:tc>
        <w:tc>
          <w:tcPr>
            <w:tcW w:w="1353" w:type="dxa"/>
          </w:tcPr>
          <w:p w14:paraId="6C34E68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-0.04</w:t>
            </w:r>
          </w:p>
        </w:tc>
        <w:tc>
          <w:tcPr>
            <w:tcW w:w="1353" w:type="dxa"/>
          </w:tcPr>
          <w:p w14:paraId="447D4314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-0.11</w:t>
            </w:r>
          </w:p>
        </w:tc>
        <w:tc>
          <w:tcPr>
            <w:tcW w:w="1354" w:type="dxa"/>
          </w:tcPr>
          <w:p w14:paraId="1483355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-0.01</w:t>
            </w:r>
          </w:p>
        </w:tc>
        <w:tc>
          <w:tcPr>
            <w:tcW w:w="1262" w:type="dxa"/>
          </w:tcPr>
          <w:p w14:paraId="08A2846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5DBF356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141.4</w:t>
            </w:r>
          </w:p>
        </w:tc>
      </w:tr>
      <w:tr w:rsidR="00A7126F" w:rsidRPr="00EE52F0" w14:paraId="0E3BDEC3" w14:textId="77777777">
        <w:tc>
          <w:tcPr>
            <w:tcW w:w="1320" w:type="dxa"/>
          </w:tcPr>
          <w:p w14:paraId="10A4559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2"/>
                <w:lang w:val="en-US"/>
              </w:rPr>
              <w:object w:dxaOrig="279" w:dyaOrig="360" w14:anchorId="411E4300">
                <v:shape id="_x0000_i1028" type="#_x0000_t75" style="width:14pt;height:18pt" o:ole="">
                  <v:imagedata r:id="rId12" o:title=""/>
                </v:shape>
                <o:OLEObject Type="Embed" ProgID="Equation.3" ShapeID="_x0000_i1028" DrawAspect="Content" ObjectID="_1781356032" r:id="rId13"/>
              </w:object>
            </w:r>
          </w:p>
        </w:tc>
        <w:tc>
          <w:tcPr>
            <w:tcW w:w="1352" w:type="dxa"/>
          </w:tcPr>
          <w:p w14:paraId="0B739D7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0.22</w:t>
            </w:r>
          </w:p>
        </w:tc>
        <w:tc>
          <w:tcPr>
            <w:tcW w:w="1353" w:type="dxa"/>
          </w:tcPr>
          <w:p w14:paraId="6D6C35B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0.28</w:t>
            </w:r>
          </w:p>
        </w:tc>
        <w:tc>
          <w:tcPr>
            <w:tcW w:w="1353" w:type="dxa"/>
          </w:tcPr>
          <w:p w14:paraId="6B54BD3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0.22</w:t>
            </w:r>
          </w:p>
        </w:tc>
        <w:tc>
          <w:tcPr>
            <w:tcW w:w="1354" w:type="dxa"/>
          </w:tcPr>
          <w:p w14:paraId="2CECA36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262" w:type="dxa"/>
          </w:tcPr>
          <w:p w14:paraId="0D4582F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3EBDB0F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150</w:t>
            </w:r>
          </w:p>
        </w:tc>
      </w:tr>
      <w:tr w:rsidR="00A7126F" w:rsidRPr="00EE52F0" w14:paraId="1F4C1048" w14:textId="77777777">
        <w:tc>
          <w:tcPr>
            <w:tcW w:w="1320" w:type="dxa"/>
          </w:tcPr>
          <w:p w14:paraId="29DD943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300" w:dyaOrig="340" w14:anchorId="40FD2886">
                <v:shape id="_x0000_i1029" type="#_x0000_t75" style="width:15pt;height:17pt" o:ole="">
                  <v:imagedata r:id="rId14" o:title=""/>
                </v:shape>
                <o:OLEObject Type="Embed" ProgID="Equation.3" ShapeID="_x0000_i1029" DrawAspect="Content" ObjectID="_1781356033" r:id="rId15"/>
              </w:object>
            </w:r>
          </w:p>
        </w:tc>
        <w:tc>
          <w:tcPr>
            <w:tcW w:w="1352" w:type="dxa"/>
          </w:tcPr>
          <w:p w14:paraId="348ADBD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3" w:type="dxa"/>
          </w:tcPr>
          <w:p w14:paraId="4E2192B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3" w:type="dxa"/>
          </w:tcPr>
          <w:p w14:paraId="7907344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4" w:type="dxa"/>
          </w:tcPr>
          <w:p w14:paraId="246C620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0.12</w:t>
            </w:r>
          </w:p>
        </w:tc>
        <w:tc>
          <w:tcPr>
            <w:tcW w:w="1262" w:type="dxa"/>
          </w:tcPr>
          <w:p w14:paraId="6CFA6EA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</w:t>
            </w:r>
          </w:p>
        </w:tc>
        <w:tc>
          <w:tcPr>
            <w:tcW w:w="1354" w:type="dxa"/>
          </w:tcPr>
          <w:p w14:paraId="5E73E604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70.7</w:t>
            </w:r>
          </w:p>
        </w:tc>
      </w:tr>
    </w:tbl>
    <w:p w14:paraId="4419520E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center"/>
      </w:pPr>
    </w:p>
    <w:p w14:paraId="1A6DA9E5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  <w:r w:rsidRPr="00EE52F0">
        <w:tab/>
      </w:r>
    </w:p>
    <w:p w14:paraId="7C1B829D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</w:rPr>
      </w:pPr>
    </w:p>
    <w:p w14:paraId="466ECBBA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>c) Quelle est la probabilité (estimée par</w:t>
      </w:r>
      <w:r w:rsidRPr="00EE52F0">
        <w:rPr>
          <w:i/>
          <w:iCs/>
          <w:u w:val="single"/>
          <w:lang w:val="fr-CA"/>
        </w:rPr>
        <w:t xml:space="preserve"> KI simple)</w:t>
      </w:r>
      <w:r w:rsidRPr="00EE52F0">
        <w:rPr>
          <w:i/>
          <w:iCs/>
          <w:lang w:val="fr-CA"/>
        </w:rPr>
        <w:t xml:space="preserve"> que la concentration au point x</w:t>
      </w:r>
      <w:r w:rsidRPr="00EE52F0">
        <w:rPr>
          <w:iCs/>
          <w:vertAlign w:val="subscript"/>
          <w:lang w:val="fr-CA"/>
        </w:rPr>
        <w:t>o</w:t>
      </w:r>
      <w:r w:rsidRPr="00EE52F0">
        <w:rPr>
          <w:iCs/>
          <w:lang w:val="fr-CA"/>
        </w:rPr>
        <w:t xml:space="preserve"> </w:t>
      </w:r>
      <w:r w:rsidRPr="00EE52F0">
        <w:rPr>
          <w:i/>
          <w:iCs/>
          <w:lang w:val="fr-CA"/>
        </w:rPr>
        <w:t>soit supérieure à 200 ppm ? (Ne cherchez pas à effectuer les corrections pour relation d’ordre).</w:t>
      </w:r>
    </w:p>
    <w:p w14:paraId="238A80CE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137C1756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>d) Que peut-on dire de la portée du variogramme d’indicatrice utilisé dans le krigeage pour le seuil 500 ppm?</w:t>
      </w:r>
    </w:p>
    <w:p w14:paraId="1A97F012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51E1B45C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>e) L’usine de recyclage est située sur la rue Notre-Dame dans l’est de Montréal. Les camions empruntent principalement cet axe routier orienté sud-ouest nord-est. Les vents dominants au cours de l’année sont aussi orientés sud-ouest nord-est. En quoi ces informations peuvent être utiles ?</w:t>
      </w:r>
    </w:p>
    <w:p w14:paraId="5AD114BF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2215CFBC" w14:textId="77777777" w:rsidR="00A7126F" w:rsidRPr="00EE52F0" w:rsidRDefault="00A7126F">
      <w:pPr>
        <w:tabs>
          <w:tab w:val="center" w:pos="4320"/>
          <w:tab w:val="right" w:pos="8910"/>
        </w:tabs>
        <w:jc w:val="both"/>
        <w:rPr>
          <w:lang w:val="fr-CA"/>
        </w:rPr>
      </w:pPr>
    </w:p>
    <w:p w14:paraId="39CF2BCD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5BD01C68" w14:textId="77777777" w:rsidR="00A7126F" w:rsidRPr="00EE52F0" w:rsidRDefault="00A7126F">
      <w:pPr>
        <w:tabs>
          <w:tab w:val="center" w:pos="4320"/>
          <w:tab w:val="right" w:pos="8910"/>
        </w:tabs>
        <w:jc w:val="both"/>
        <w:rPr>
          <w:lang w:val="fr-CA"/>
        </w:rPr>
      </w:pPr>
    </w:p>
    <w:p w14:paraId="59DE9FD1" w14:textId="77777777" w:rsidR="00A7126F" w:rsidRPr="00EE52F0" w:rsidRDefault="00C0651F">
      <w:pPr>
        <w:pStyle w:val="BodyTextIndent"/>
        <w:numPr>
          <w:ilvl w:val="0"/>
          <w:numId w:val="0"/>
        </w:numPr>
        <w:tabs>
          <w:tab w:val="clear" w:pos="630"/>
        </w:tabs>
        <w:jc w:val="both"/>
        <w:rPr>
          <w:sz w:val="22"/>
        </w:rPr>
      </w:pPr>
      <w:r w:rsidRPr="00EE52F0">
        <w:rPr>
          <w:sz w:val="22"/>
        </w:rPr>
        <w:t>3</w:t>
      </w:r>
      <w:r w:rsidR="00A7126F" w:rsidRPr="00EE52F0">
        <w:rPr>
          <w:sz w:val="22"/>
        </w:rPr>
        <w:t>- Quatre puits pétroliers ont été forés. Les 3 premiers puits ont atteint le sommet du réservoir aux profondeurs (donc croissant vers le bas) 305m, 333m et 309m. Le 4</w:t>
      </w:r>
      <w:r w:rsidR="00A7126F" w:rsidRPr="00EE52F0">
        <w:rPr>
          <w:sz w:val="22"/>
          <w:vertAlign w:val="superscript"/>
        </w:rPr>
        <w:t>e</w:t>
      </w:r>
      <w:r w:rsidR="00A7126F" w:rsidRPr="00EE52F0">
        <w:rPr>
          <w:sz w:val="22"/>
        </w:rPr>
        <w:t xml:space="preserve"> forage a dû être stoppé à 318m, avant qu’il n’atteigne le sommet du réservoir et l’on ne dispose d’aucune autre information en ce point. </w:t>
      </w:r>
    </w:p>
    <w:p w14:paraId="4CA5ED31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ind w:left="283" w:hanging="283"/>
        <w:jc w:val="both"/>
        <w:rPr>
          <w:sz w:val="22"/>
        </w:rPr>
      </w:pPr>
    </w:p>
    <w:p w14:paraId="14894998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jc w:val="both"/>
        <w:rPr>
          <w:sz w:val="22"/>
        </w:rPr>
      </w:pPr>
      <w:r w:rsidRPr="00EE52F0">
        <w:rPr>
          <w:sz w:val="22"/>
        </w:rPr>
        <w:t>Le variogramme de la profondeur est sphérique avec C</w:t>
      </w:r>
      <w:r w:rsidRPr="00EE52F0">
        <w:rPr>
          <w:sz w:val="22"/>
          <w:vertAlign w:val="subscript"/>
        </w:rPr>
        <w:t>0</w:t>
      </w:r>
      <w:r w:rsidRPr="00EE52F0">
        <w:rPr>
          <w:sz w:val="22"/>
        </w:rPr>
        <w:t>=7m</w:t>
      </w:r>
      <w:r w:rsidRPr="00EE52F0">
        <w:rPr>
          <w:sz w:val="22"/>
          <w:vertAlign w:val="superscript"/>
        </w:rPr>
        <w:t>2</w:t>
      </w:r>
      <w:r w:rsidRPr="00EE52F0">
        <w:rPr>
          <w:sz w:val="22"/>
        </w:rPr>
        <w:t>, C=29m</w:t>
      </w:r>
      <w:r w:rsidRPr="00EE52F0">
        <w:rPr>
          <w:sz w:val="22"/>
          <w:vertAlign w:val="superscript"/>
        </w:rPr>
        <w:t>2</w:t>
      </w:r>
      <w:r w:rsidRPr="00EE52F0">
        <w:rPr>
          <w:sz w:val="22"/>
        </w:rPr>
        <w:t xml:space="preserve"> et a=132m. Le variogramme du log(profondeur) est proportionnel à celui-ci, de même que les différents variogrammes d’indicatrices. Lorsque l’on effectue le krigeage ordinaire de la profondeur en utilisant les points x</w:t>
      </w:r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 xml:space="preserve"> à 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>, d’une part, et x</w:t>
      </w:r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 xml:space="preserve"> à x</w:t>
      </w:r>
      <w:r w:rsidRPr="00EE52F0">
        <w:rPr>
          <w:sz w:val="22"/>
          <w:vertAlign w:val="subscript"/>
        </w:rPr>
        <w:t>3</w:t>
      </w:r>
      <w:r w:rsidRPr="00EE52F0">
        <w:rPr>
          <w:sz w:val="22"/>
        </w:rPr>
        <w:t xml:space="preserve"> d’autre part on obtient les poids suivants :</w:t>
      </w:r>
    </w:p>
    <w:p w14:paraId="71D9090F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ind w:left="283" w:hanging="283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7"/>
        <w:gridCol w:w="4060"/>
        <w:gridCol w:w="4060"/>
      </w:tblGrid>
      <w:tr w:rsidR="00A7126F" w:rsidRPr="0014402B" w14:paraId="0B6D4009" w14:textId="77777777">
        <w:trPr>
          <w:jc w:val="center"/>
        </w:trPr>
        <w:tc>
          <w:tcPr>
            <w:tcW w:w="767" w:type="dxa"/>
            <w:tcBorders>
              <w:bottom w:val="single" w:sz="6" w:space="0" w:color="008000"/>
            </w:tcBorders>
          </w:tcPr>
          <w:p w14:paraId="2E3D712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Point</w:t>
            </w:r>
          </w:p>
        </w:tc>
        <w:tc>
          <w:tcPr>
            <w:tcW w:w="4060" w:type="dxa"/>
            <w:tcBorders>
              <w:bottom w:val="single" w:sz="6" w:space="0" w:color="008000"/>
            </w:tcBorders>
          </w:tcPr>
          <w:p w14:paraId="062B6E0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Poids de krigeage de x</w:t>
            </w:r>
            <w:r w:rsidRPr="00EE52F0">
              <w:rPr>
                <w:sz w:val="22"/>
                <w:vertAlign w:val="subscript"/>
              </w:rPr>
              <w:t>0</w:t>
            </w:r>
            <w:r w:rsidRPr="00EE52F0">
              <w:rPr>
                <w:sz w:val="22"/>
              </w:rPr>
              <w:t xml:space="preserve"> utilisant  x</w:t>
            </w:r>
            <w:r w:rsidRPr="00EE52F0">
              <w:rPr>
                <w:sz w:val="22"/>
                <w:vertAlign w:val="subscript"/>
              </w:rPr>
              <w:t>1</w:t>
            </w:r>
            <w:r w:rsidRPr="00EE52F0">
              <w:rPr>
                <w:sz w:val="22"/>
              </w:rPr>
              <w:t xml:space="preserve"> à x</w:t>
            </w:r>
            <w:r w:rsidRPr="00EE52F0">
              <w:rPr>
                <w:sz w:val="22"/>
                <w:vertAlign w:val="subscript"/>
              </w:rPr>
              <w:t>4</w:t>
            </w:r>
          </w:p>
        </w:tc>
        <w:tc>
          <w:tcPr>
            <w:tcW w:w="4060" w:type="dxa"/>
            <w:tcBorders>
              <w:bottom w:val="single" w:sz="6" w:space="0" w:color="008000"/>
            </w:tcBorders>
          </w:tcPr>
          <w:p w14:paraId="4B29534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Poids de krigeage de x</w:t>
            </w:r>
            <w:r w:rsidRPr="00EE52F0">
              <w:rPr>
                <w:sz w:val="22"/>
                <w:vertAlign w:val="subscript"/>
              </w:rPr>
              <w:t>0</w:t>
            </w:r>
            <w:r w:rsidRPr="00EE52F0">
              <w:rPr>
                <w:sz w:val="22"/>
              </w:rPr>
              <w:t xml:space="preserve"> utilisant  x</w:t>
            </w:r>
            <w:r w:rsidRPr="00EE52F0">
              <w:rPr>
                <w:sz w:val="22"/>
                <w:vertAlign w:val="subscript"/>
              </w:rPr>
              <w:t>1</w:t>
            </w:r>
            <w:r w:rsidRPr="00EE52F0">
              <w:rPr>
                <w:sz w:val="22"/>
              </w:rPr>
              <w:t xml:space="preserve"> à x</w:t>
            </w:r>
            <w:r w:rsidRPr="00EE52F0">
              <w:rPr>
                <w:sz w:val="22"/>
                <w:vertAlign w:val="subscript"/>
              </w:rPr>
              <w:t>3</w:t>
            </w:r>
          </w:p>
        </w:tc>
      </w:tr>
      <w:tr w:rsidR="00A7126F" w:rsidRPr="00EE52F0" w14:paraId="7297981F" w14:textId="77777777">
        <w:trPr>
          <w:jc w:val="center"/>
        </w:trPr>
        <w:tc>
          <w:tcPr>
            <w:tcW w:w="767" w:type="dxa"/>
            <w:tcBorders>
              <w:top w:val="nil"/>
            </w:tcBorders>
          </w:tcPr>
          <w:p w14:paraId="793E604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x</w:t>
            </w:r>
            <w:r w:rsidRPr="00EE52F0">
              <w:rPr>
                <w:sz w:val="22"/>
                <w:vertAlign w:val="subscript"/>
              </w:rPr>
              <w:t>1</w:t>
            </w:r>
          </w:p>
        </w:tc>
        <w:tc>
          <w:tcPr>
            <w:tcW w:w="4060" w:type="dxa"/>
            <w:tcBorders>
              <w:top w:val="nil"/>
            </w:tcBorders>
          </w:tcPr>
          <w:p w14:paraId="69014B4D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</w:t>
            </w:r>
          </w:p>
        </w:tc>
        <w:tc>
          <w:tcPr>
            <w:tcW w:w="4060" w:type="dxa"/>
            <w:tcBorders>
              <w:top w:val="nil"/>
            </w:tcBorders>
          </w:tcPr>
          <w:p w14:paraId="71B2C760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0.25</w:t>
            </w:r>
          </w:p>
        </w:tc>
      </w:tr>
      <w:tr w:rsidR="00A7126F" w:rsidRPr="00EE52F0" w14:paraId="407C0435" w14:textId="77777777">
        <w:trPr>
          <w:jc w:val="center"/>
        </w:trPr>
        <w:tc>
          <w:tcPr>
            <w:tcW w:w="767" w:type="dxa"/>
          </w:tcPr>
          <w:p w14:paraId="3CB3CCF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x</w:t>
            </w:r>
            <w:r w:rsidRPr="00EE52F0">
              <w:rPr>
                <w:sz w:val="22"/>
                <w:vertAlign w:val="subscript"/>
              </w:rPr>
              <w:t>2</w:t>
            </w:r>
          </w:p>
        </w:tc>
        <w:tc>
          <w:tcPr>
            <w:tcW w:w="4060" w:type="dxa"/>
          </w:tcPr>
          <w:p w14:paraId="58CB8C6E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0.15</w:t>
            </w:r>
          </w:p>
        </w:tc>
        <w:tc>
          <w:tcPr>
            <w:tcW w:w="4060" w:type="dxa"/>
          </w:tcPr>
          <w:p w14:paraId="13D72A3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0.20</w:t>
            </w:r>
          </w:p>
        </w:tc>
      </w:tr>
      <w:tr w:rsidR="00A7126F" w:rsidRPr="00EE52F0" w14:paraId="1A28161D" w14:textId="77777777">
        <w:trPr>
          <w:jc w:val="center"/>
        </w:trPr>
        <w:tc>
          <w:tcPr>
            <w:tcW w:w="767" w:type="dxa"/>
          </w:tcPr>
          <w:p w14:paraId="70BA38D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x</w:t>
            </w:r>
            <w:r w:rsidRPr="00EE52F0">
              <w:rPr>
                <w:sz w:val="22"/>
                <w:vertAlign w:val="subscript"/>
              </w:rPr>
              <w:t>3</w:t>
            </w:r>
          </w:p>
        </w:tc>
        <w:tc>
          <w:tcPr>
            <w:tcW w:w="4060" w:type="dxa"/>
          </w:tcPr>
          <w:p w14:paraId="3324B820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0.3</w:t>
            </w:r>
          </w:p>
        </w:tc>
        <w:tc>
          <w:tcPr>
            <w:tcW w:w="4060" w:type="dxa"/>
          </w:tcPr>
          <w:p w14:paraId="22B879D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0.55</w:t>
            </w:r>
          </w:p>
        </w:tc>
      </w:tr>
      <w:tr w:rsidR="00A7126F" w:rsidRPr="00EE52F0" w14:paraId="6900F4A9" w14:textId="77777777">
        <w:trPr>
          <w:jc w:val="center"/>
        </w:trPr>
        <w:tc>
          <w:tcPr>
            <w:tcW w:w="767" w:type="dxa"/>
          </w:tcPr>
          <w:p w14:paraId="0EE50F8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x</w:t>
            </w:r>
            <w:r w:rsidRPr="00EE52F0">
              <w:rPr>
                <w:sz w:val="22"/>
                <w:vertAlign w:val="subscript"/>
              </w:rPr>
              <w:t>4</w:t>
            </w:r>
          </w:p>
        </w:tc>
        <w:tc>
          <w:tcPr>
            <w:tcW w:w="4060" w:type="dxa"/>
          </w:tcPr>
          <w:p w14:paraId="04929D32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0.35</w:t>
            </w:r>
          </w:p>
        </w:tc>
        <w:tc>
          <w:tcPr>
            <w:tcW w:w="4060" w:type="dxa"/>
          </w:tcPr>
          <w:p w14:paraId="07A53C24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--</w:t>
            </w:r>
          </w:p>
        </w:tc>
      </w:tr>
    </w:tbl>
    <w:p w14:paraId="64B6F173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-2694"/>
        </w:tabs>
        <w:jc w:val="both"/>
        <w:rPr>
          <w:sz w:val="22"/>
        </w:rPr>
      </w:pPr>
      <w:r w:rsidRPr="00EE52F0">
        <w:rPr>
          <w:sz w:val="22"/>
        </w:rPr>
        <w:t>Utilisez toutes les informations (i.e. incluant le forage stoppé en 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>) pour prédire, par krigeage ordinaire d’indicatrices, l’espérance de la profondeur du réservoir au point x</w:t>
      </w:r>
      <w:r w:rsidRPr="00EE52F0">
        <w:rPr>
          <w:sz w:val="22"/>
          <w:vertAlign w:val="subscript"/>
        </w:rPr>
        <w:t>0</w:t>
      </w:r>
      <w:r w:rsidRPr="00EE52F0">
        <w:rPr>
          <w:sz w:val="22"/>
        </w:rPr>
        <w:t>. Considérez les seuils 300m, 310m, 320m, 330m, et 340m dans votre krigeage d’indicatrices et utilisez les milieux des classes comme valeurs représentatives des classes.</w:t>
      </w:r>
      <w:r w:rsidRPr="00EE52F0">
        <w:rPr>
          <w:sz w:val="22"/>
        </w:rPr>
        <w:tab/>
        <w:t xml:space="preserve"> </w:t>
      </w:r>
      <w:r w:rsidR="009D54EB" w:rsidRPr="00EE52F0">
        <w:rPr>
          <w:sz w:val="22"/>
        </w:rPr>
        <w:t xml:space="preserve">On a : </w:t>
      </w:r>
      <w:r w:rsidRPr="00EE52F0">
        <w:rPr>
          <w:sz w:val="22"/>
        </w:rPr>
        <w:t>Z(x</w:t>
      </w:r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>)=305m; Z(x</w:t>
      </w:r>
      <w:r w:rsidRPr="00EE52F0">
        <w:rPr>
          <w:sz w:val="22"/>
          <w:vertAlign w:val="subscript"/>
        </w:rPr>
        <w:t>2</w:t>
      </w:r>
      <w:r w:rsidRPr="00EE52F0">
        <w:rPr>
          <w:sz w:val="22"/>
        </w:rPr>
        <w:t>)=333m; Z(x</w:t>
      </w:r>
      <w:r w:rsidRPr="00EE52F0">
        <w:rPr>
          <w:sz w:val="22"/>
          <w:vertAlign w:val="subscript"/>
        </w:rPr>
        <w:t>3</w:t>
      </w:r>
      <w:r w:rsidRPr="00EE52F0">
        <w:rPr>
          <w:sz w:val="22"/>
        </w:rPr>
        <w:t>)=309m; Z(x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 xml:space="preserve">)&gt;318m </w:t>
      </w:r>
    </w:p>
    <w:p w14:paraId="5959C4DB" w14:textId="77777777" w:rsidR="00026699" w:rsidRPr="00EE52F0" w:rsidRDefault="00026699">
      <w:pPr>
        <w:pStyle w:val="BodyTextIndent"/>
        <w:numPr>
          <w:ilvl w:val="0"/>
          <w:numId w:val="0"/>
        </w:numPr>
        <w:tabs>
          <w:tab w:val="clear" w:pos="630"/>
          <w:tab w:val="left" w:pos="-2694"/>
        </w:tabs>
        <w:jc w:val="both"/>
        <w:rPr>
          <w:sz w:val="22"/>
        </w:rPr>
      </w:pPr>
    </w:p>
    <w:p w14:paraId="63E1FDF7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6FD8E8F5" w14:textId="77777777" w:rsidR="00A7126F" w:rsidRPr="00EE52F0" w:rsidRDefault="00C0651F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>4</w:t>
      </w:r>
      <w:r w:rsidR="0033243A" w:rsidRPr="00EE52F0">
        <w:rPr>
          <w:lang w:val="fr-CA"/>
        </w:rPr>
        <w:t xml:space="preserve">- Soit une variable indicatrice </w:t>
      </w:r>
      <w:r w:rsidR="00D8614B" w:rsidRPr="00EE52F0">
        <w:rPr>
          <w:lang w:val="fr-CA"/>
        </w:rPr>
        <w:t>d’un faciès géologique notée I(x)=1 quand le faciès est observé au point x. Son espérance</w:t>
      </w:r>
      <w:r w:rsidR="0033243A" w:rsidRPr="00EE52F0">
        <w:rPr>
          <w:lang w:val="fr-CA"/>
        </w:rPr>
        <w:t xml:space="preserve"> </w:t>
      </w:r>
      <w:r w:rsidR="00D8614B" w:rsidRPr="00EE52F0">
        <w:rPr>
          <w:lang w:val="fr-CA"/>
        </w:rPr>
        <w:t xml:space="preserve">E[I(x)] est </w:t>
      </w:r>
      <w:r w:rsidR="0033243A" w:rsidRPr="00EE52F0">
        <w:rPr>
          <w:lang w:val="fr-CA"/>
        </w:rPr>
        <w:t>p</w:t>
      </w:r>
      <w:r w:rsidR="00D274F1" w:rsidRPr="00EE52F0">
        <w:rPr>
          <w:lang w:val="fr-CA"/>
        </w:rPr>
        <w:t>(0)</w:t>
      </w:r>
      <w:r w:rsidR="0033243A" w:rsidRPr="00EE52F0">
        <w:rPr>
          <w:lang w:val="fr-CA"/>
        </w:rPr>
        <w:t xml:space="preserve"> = P(I(x)=1) et </w:t>
      </w:r>
      <w:r w:rsidR="00D8614B" w:rsidRPr="00EE52F0">
        <w:rPr>
          <w:lang w:val="fr-CA"/>
        </w:rPr>
        <w:t>la probabilité que deux points espacés d’une distance h soient de ce même faciès est notée p(h)=P(I(x)=1 et I(x+h)=1).</w:t>
      </w:r>
      <w:r w:rsidR="00D274F1" w:rsidRPr="00EE52F0">
        <w:rPr>
          <w:lang w:val="fr-CA"/>
        </w:rPr>
        <w:t xml:space="preserve"> Le vecteur h est orienté, i.e. en général on a : p(h) ≠ p(-h).</w:t>
      </w:r>
    </w:p>
    <w:p w14:paraId="6F6E0559" w14:textId="77777777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</w:p>
    <w:p w14:paraId="6AD01B65" w14:textId="77777777" w:rsidR="00D8614B" w:rsidRPr="00EE52F0" w:rsidRDefault="00044137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 xml:space="preserve">Supposons la stationnarité. </w:t>
      </w:r>
      <w:r w:rsidR="00D8614B" w:rsidRPr="00EE52F0">
        <w:rPr>
          <w:lang w:val="fr-CA"/>
        </w:rPr>
        <w:t>Exprimez uniquement en fonction de p</w:t>
      </w:r>
      <w:r w:rsidR="00D274F1" w:rsidRPr="00EE52F0">
        <w:rPr>
          <w:lang w:val="fr-CA"/>
        </w:rPr>
        <w:t>(0)</w:t>
      </w:r>
      <w:r w:rsidR="00D8614B" w:rsidRPr="00EE52F0">
        <w:rPr>
          <w:lang w:val="fr-CA"/>
        </w:rPr>
        <w:t xml:space="preserve"> et</w:t>
      </w:r>
      <w:r w:rsidRPr="00EE52F0">
        <w:rPr>
          <w:lang w:val="fr-CA"/>
        </w:rPr>
        <w:t>/ou</w:t>
      </w:r>
      <w:r w:rsidR="00D8614B" w:rsidRPr="00EE52F0">
        <w:rPr>
          <w:lang w:val="fr-CA"/>
        </w:rPr>
        <w:t xml:space="preserve"> de p(h) :</w:t>
      </w:r>
    </w:p>
    <w:p w14:paraId="4CB7D977" w14:textId="77777777" w:rsidR="00ED7BFB" w:rsidRPr="00EE52F0" w:rsidRDefault="00ED7BFB" w:rsidP="00915641">
      <w:pPr>
        <w:pStyle w:val="Style1"/>
        <w:tabs>
          <w:tab w:val="left" w:pos="-720"/>
        </w:tabs>
        <w:suppressAutoHyphens/>
        <w:rPr>
          <w:lang w:val="fr-CA"/>
        </w:rPr>
      </w:pPr>
    </w:p>
    <w:p w14:paraId="441E9A19" w14:textId="77777777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>a) La variance de l’indicatrice : Var(I(x))</w:t>
      </w:r>
    </w:p>
    <w:p w14:paraId="650A9230" w14:textId="77777777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>b) La fonction de covariance non-centrée de l’indicatrice : C*(h)=E[I(x)I(x+h)]</w:t>
      </w:r>
    </w:p>
    <w:p w14:paraId="619724DC" w14:textId="77777777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>c) La fonction de covariance centrée de l’indicatrice : C(h)=Cov(I(x),I(x+h))</w:t>
      </w:r>
    </w:p>
    <w:p w14:paraId="3264D288" w14:textId="2544AB4C" w:rsidR="0065127F" w:rsidRPr="00EE52F0" w:rsidRDefault="00D8614B" w:rsidP="00915641">
      <w:pPr>
        <w:pStyle w:val="Style1"/>
        <w:tabs>
          <w:tab w:val="left" w:pos="-720"/>
        </w:tabs>
        <w:suppressAutoHyphens/>
      </w:pPr>
      <w:r w:rsidRPr="00EE52F0">
        <w:rPr>
          <w:lang w:val="fr-CA"/>
        </w:rPr>
        <w:t xml:space="preserve">d) Le variogramme de l’indicatrice : </w:t>
      </w:r>
      <w:r w:rsidRPr="00EE52F0">
        <w:rPr>
          <w:position w:val="-10"/>
          <w:lang w:val="fr-CA"/>
        </w:rPr>
        <w:object w:dxaOrig="600" w:dyaOrig="340" w14:anchorId="06E694D0">
          <v:shape id="_x0000_i1030" type="#_x0000_t75" style="width:30pt;height:17pt" o:ole="">
            <v:imagedata r:id="rId16" o:title=""/>
          </v:shape>
          <o:OLEObject Type="Embed" ProgID="Equation.3" ShapeID="_x0000_i1030" DrawAspect="Content" ObjectID="_1781356034" r:id="rId17"/>
        </w:object>
      </w:r>
      <w:r w:rsidRPr="00EE52F0">
        <w:rPr>
          <w:lang w:val="fr-CA"/>
        </w:rPr>
        <w:t>=0.5 E[(I(x)-I(x+h))</w:t>
      </w:r>
      <w:r w:rsidRPr="00EE52F0">
        <w:rPr>
          <w:vertAlign w:val="superscript"/>
          <w:lang w:val="fr-CA"/>
        </w:rPr>
        <w:t>2</w:t>
      </w:r>
      <w:r w:rsidRPr="00EE52F0">
        <w:rPr>
          <w:lang w:val="fr-CA"/>
        </w:rPr>
        <w:t xml:space="preserve">] </w:t>
      </w:r>
    </w:p>
    <w:sectPr w:rsidR="0065127F" w:rsidRPr="00EE52F0">
      <w:footerReference w:type="even" r:id="rId18"/>
      <w:footerReference w:type="default" r:id="rId19"/>
      <w:pgSz w:w="12240" w:h="15840" w:code="125"/>
      <w:pgMar w:top="90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C96A" w14:textId="77777777" w:rsidR="00996635" w:rsidRDefault="00996635">
      <w:r>
        <w:separator/>
      </w:r>
    </w:p>
  </w:endnote>
  <w:endnote w:type="continuationSeparator" w:id="0">
    <w:p w14:paraId="19BE0E1E" w14:textId="77777777" w:rsidR="00996635" w:rsidRDefault="009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BAFF" w14:textId="77777777" w:rsidR="00832128" w:rsidRDefault="00832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5960A" w14:textId="77777777" w:rsidR="00832128" w:rsidRDefault="008321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86CF" w14:textId="77777777" w:rsidR="00832128" w:rsidRDefault="00832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A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9AB653" w14:textId="77777777" w:rsidR="00832128" w:rsidRDefault="008321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BC6E" w14:textId="77777777" w:rsidR="00996635" w:rsidRDefault="00996635">
      <w:r>
        <w:separator/>
      </w:r>
    </w:p>
  </w:footnote>
  <w:footnote w:type="continuationSeparator" w:id="0">
    <w:p w14:paraId="41634A90" w14:textId="77777777" w:rsidR="00996635" w:rsidRDefault="0099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E2DFC"/>
    <w:multiLevelType w:val="singleLevel"/>
    <w:tmpl w:val="4F7494E2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E72D10"/>
    <w:multiLevelType w:val="hybridMultilevel"/>
    <w:tmpl w:val="706675C8"/>
    <w:lvl w:ilvl="0" w:tplc="76A629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4C85"/>
    <w:multiLevelType w:val="singleLevel"/>
    <w:tmpl w:val="9C944F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E14286"/>
    <w:multiLevelType w:val="singleLevel"/>
    <w:tmpl w:val="9EEC2AF2"/>
    <w:lvl w:ilvl="0">
      <w:start w:val="20"/>
      <w:numFmt w:val="decimal"/>
      <w:lvlText w:val="%1"/>
      <w:lvlJc w:val="left"/>
      <w:pPr>
        <w:tabs>
          <w:tab w:val="num" w:pos="-4"/>
        </w:tabs>
        <w:ind w:left="-4" w:hanging="705"/>
      </w:pPr>
      <w:rPr>
        <w:rFonts w:hint="default"/>
      </w:rPr>
    </w:lvl>
  </w:abstractNum>
  <w:num w:numId="1" w16cid:durableId="1287466290">
    <w:abstractNumId w:val="1"/>
  </w:num>
  <w:num w:numId="2" w16cid:durableId="216864448">
    <w:abstractNumId w:val="1"/>
  </w:num>
  <w:num w:numId="3" w16cid:durableId="15810570">
    <w:abstractNumId w:val="1"/>
  </w:num>
  <w:num w:numId="4" w16cid:durableId="1974485774">
    <w:abstractNumId w:val="0"/>
  </w:num>
  <w:num w:numId="5" w16cid:durableId="849416892">
    <w:abstractNumId w:val="3"/>
  </w:num>
  <w:num w:numId="6" w16cid:durableId="153643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849"/>
    <w:rsid w:val="00026699"/>
    <w:rsid w:val="00044137"/>
    <w:rsid w:val="00054C55"/>
    <w:rsid w:val="00100AEF"/>
    <w:rsid w:val="00115D6A"/>
    <w:rsid w:val="001231F1"/>
    <w:rsid w:val="0014402B"/>
    <w:rsid w:val="0016790F"/>
    <w:rsid w:val="00175C1B"/>
    <w:rsid w:val="0019134E"/>
    <w:rsid w:val="001B4BF4"/>
    <w:rsid w:val="00225BFE"/>
    <w:rsid w:val="00315A36"/>
    <w:rsid w:val="0033243A"/>
    <w:rsid w:val="00355E18"/>
    <w:rsid w:val="003A5513"/>
    <w:rsid w:val="00556145"/>
    <w:rsid w:val="0065127F"/>
    <w:rsid w:val="006E4D5D"/>
    <w:rsid w:val="006E5CD1"/>
    <w:rsid w:val="007116E8"/>
    <w:rsid w:val="00764AF6"/>
    <w:rsid w:val="00832128"/>
    <w:rsid w:val="008C18D1"/>
    <w:rsid w:val="008F1F34"/>
    <w:rsid w:val="008F1FA5"/>
    <w:rsid w:val="009077FC"/>
    <w:rsid w:val="00915641"/>
    <w:rsid w:val="00930EAD"/>
    <w:rsid w:val="00996635"/>
    <w:rsid w:val="009A7849"/>
    <w:rsid w:val="009B69B5"/>
    <w:rsid w:val="009D54EB"/>
    <w:rsid w:val="009E3874"/>
    <w:rsid w:val="00A570BD"/>
    <w:rsid w:val="00A7126F"/>
    <w:rsid w:val="00B16B5B"/>
    <w:rsid w:val="00B61A1F"/>
    <w:rsid w:val="00C0651F"/>
    <w:rsid w:val="00C75F8B"/>
    <w:rsid w:val="00D274F1"/>
    <w:rsid w:val="00D51F65"/>
    <w:rsid w:val="00D8614B"/>
    <w:rsid w:val="00E001E5"/>
    <w:rsid w:val="00E4023E"/>
    <w:rsid w:val="00ED7BFB"/>
    <w:rsid w:val="00EE52F0"/>
    <w:rsid w:val="00F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6652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403"/>
        <w:tab w:val="left" w:pos="720"/>
        <w:tab w:val="left" w:pos="1440"/>
        <w:tab w:val="left" w:pos="1882"/>
        <w:tab w:val="left" w:pos="2160"/>
      </w:tabs>
      <w:suppressAutoHyphens/>
      <w:jc w:val="both"/>
    </w:pPr>
    <w:rPr>
      <w:bCs/>
      <w:i/>
      <w:iCs/>
      <w:spacing w:val="-3"/>
      <w:sz w:val="24"/>
      <w:szCs w:val="20"/>
      <w:lang w:val="fr-CA"/>
    </w:rPr>
  </w:style>
  <w:style w:type="paragraph" w:styleId="Caption">
    <w:name w:val="caption"/>
    <w:basedOn w:val="Normal"/>
    <w:next w:val="Normal"/>
    <w:qFormat/>
    <w:rPr>
      <w:rFonts w:ascii="CG Times 12pt" w:hAnsi="CG Times 12pt"/>
      <w:sz w:val="24"/>
      <w:szCs w:val="20"/>
      <w:lang w:val="fr-C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  <w:lang w:val="fr-CA"/>
    </w:rPr>
  </w:style>
  <w:style w:type="paragraph" w:customStyle="1" w:styleId="BodyText21">
    <w:name w:val="Body Text 21"/>
    <w:basedOn w:val="Normal"/>
    <w:pPr>
      <w:tabs>
        <w:tab w:val="left" w:pos="-1440"/>
        <w:tab w:val="left" w:pos="-720"/>
        <w:tab w:val="left" w:pos="0"/>
        <w:tab w:val="left" w:pos="286"/>
        <w:tab w:val="left" w:pos="720"/>
      </w:tabs>
      <w:suppressAutoHyphens/>
      <w:jc w:val="both"/>
    </w:pPr>
    <w:rPr>
      <w:spacing w:val="-2"/>
      <w:sz w:val="20"/>
      <w:szCs w:val="20"/>
      <w:lang w:val="fr-CA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630"/>
        <w:tab w:val="center" w:pos="4320"/>
        <w:tab w:val="right" w:pos="8910"/>
      </w:tabs>
      <w:ind w:left="283" w:hanging="823"/>
    </w:pPr>
    <w:rPr>
      <w:sz w:val="24"/>
      <w:szCs w:val="20"/>
      <w:lang w:val="fr-CA"/>
    </w:rPr>
  </w:style>
  <w:style w:type="table" w:styleId="TableGrid">
    <w:name w:val="Table Grid"/>
    <w:basedOn w:val="TableNormal"/>
    <w:rsid w:val="009B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3</vt:lpstr>
      <vt:lpstr>Exercices 3</vt:lpstr>
    </vt:vector>
  </TitlesOfParts>
  <Company>Ecole Polytechnique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3</dc:title>
  <dc:subject/>
  <dc:creator>DEMARC</dc:creator>
  <cp:keywords/>
  <dc:description/>
  <cp:lastModifiedBy>Dany Lauzon</cp:lastModifiedBy>
  <cp:revision>3</cp:revision>
  <cp:lastPrinted>2016-10-21T07:35:00Z</cp:lastPrinted>
  <dcterms:created xsi:type="dcterms:W3CDTF">2024-07-01T13:58:00Z</dcterms:created>
  <dcterms:modified xsi:type="dcterms:W3CDTF">2024-07-01T14:21:00Z</dcterms:modified>
</cp:coreProperties>
</file>