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A87FC" w14:textId="140FE690" w:rsidR="00C301A0" w:rsidRPr="00CD5B65" w:rsidRDefault="00C301A0">
      <w:pPr>
        <w:pStyle w:val="Heading3"/>
        <w:tabs>
          <w:tab w:val="center" w:pos="4320"/>
          <w:tab w:val="right" w:pos="8730"/>
        </w:tabs>
        <w:jc w:val="both"/>
        <w:rPr>
          <w:rFonts w:ascii="Times New Roman" w:hAnsi="Times New Roman"/>
          <w:sz w:val="20"/>
          <w:lang w:val="fr-CA"/>
        </w:rPr>
      </w:pPr>
      <w:r w:rsidRPr="00CD5B65">
        <w:rPr>
          <w:rFonts w:ascii="Times New Roman" w:hAnsi="Times New Roman"/>
          <w:sz w:val="20"/>
          <w:lang w:val="fr-CA"/>
        </w:rPr>
        <w:t>GML</w:t>
      </w:r>
      <w:proofErr w:type="gramStart"/>
      <w:r w:rsidRPr="00CD5B65">
        <w:rPr>
          <w:rFonts w:ascii="Times New Roman" w:hAnsi="Times New Roman"/>
          <w:sz w:val="20"/>
          <w:lang w:val="fr-CA"/>
        </w:rPr>
        <w:t xml:space="preserve">6402  </w:t>
      </w:r>
      <w:r w:rsidRPr="00CD5B65">
        <w:rPr>
          <w:rFonts w:ascii="Times New Roman" w:hAnsi="Times New Roman"/>
          <w:sz w:val="20"/>
          <w:lang w:val="fr-CA"/>
        </w:rPr>
        <w:tab/>
      </w:r>
      <w:proofErr w:type="gramEnd"/>
      <w:r w:rsidR="00FF2E17" w:rsidRPr="00CD5B65">
        <w:rPr>
          <w:rFonts w:ascii="Times New Roman" w:hAnsi="Times New Roman"/>
          <w:sz w:val="20"/>
          <w:lang w:val="fr-CA"/>
        </w:rPr>
        <w:t xml:space="preserve">Devoir </w:t>
      </w:r>
      <w:r w:rsidR="00076362" w:rsidRPr="00CD5B65">
        <w:rPr>
          <w:rFonts w:ascii="Times New Roman" w:hAnsi="Times New Roman"/>
          <w:sz w:val="20"/>
          <w:lang w:val="fr-CA"/>
        </w:rPr>
        <w:t>2</w:t>
      </w:r>
      <w:r w:rsidRPr="00CD5B65">
        <w:rPr>
          <w:rFonts w:ascii="Times New Roman" w:hAnsi="Times New Roman"/>
          <w:sz w:val="20"/>
          <w:lang w:val="fr-CA"/>
        </w:rPr>
        <w:t xml:space="preserve"> </w:t>
      </w:r>
      <w:r w:rsidRPr="00CD5B65">
        <w:rPr>
          <w:rFonts w:ascii="Times New Roman" w:hAnsi="Times New Roman"/>
          <w:sz w:val="20"/>
          <w:lang w:val="fr-CA"/>
        </w:rPr>
        <w:tab/>
      </w:r>
      <w:r w:rsidR="00FF2E17" w:rsidRPr="00CD5B65">
        <w:rPr>
          <w:rFonts w:ascii="Times New Roman" w:hAnsi="Times New Roman"/>
          <w:sz w:val="20"/>
          <w:lang w:val="fr-CA"/>
        </w:rPr>
        <w:t>Automne 20</w:t>
      </w:r>
      <w:r w:rsidR="00A32607" w:rsidRPr="00CD5B65">
        <w:rPr>
          <w:rFonts w:ascii="Times New Roman" w:hAnsi="Times New Roman"/>
          <w:sz w:val="20"/>
          <w:lang w:val="fr-CA"/>
        </w:rPr>
        <w:t>24</w:t>
      </w:r>
    </w:p>
    <w:p w14:paraId="47EF91D5" w14:textId="77777777" w:rsidR="00C301A0" w:rsidRPr="00CD5B65" w:rsidRDefault="00C301A0">
      <w:pPr>
        <w:jc w:val="both"/>
      </w:pPr>
    </w:p>
    <w:p w14:paraId="4CBA7690" w14:textId="62536DD5" w:rsidR="00C301A0" w:rsidRPr="00CD5B65" w:rsidRDefault="00C1314E" w:rsidP="00C1314E">
      <w:pPr>
        <w:ind w:left="1410" w:hanging="1410"/>
        <w:jc w:val="both"/>
      </w:pPr>
      <w:r w:rsidRPr="00CD5B65">
        <w:t>Objectifs :</w:t>
      </w:r>
      <w:r w:rsidRPr="00CD5B65">
        <w:tab/>
      </w:r>
      <w:r w:rsidR="00076362" w:rsidRPr="00CD5B65">
        <w:t>Utiliser le variogramme et les abaques pour calculer des variances de blocs, de dispersion et d’estimation</w:t>
      </w:r>
      <w:r w:rsidR="00A001B4" w:rsidRPr="00CD5B65">
        <w:t>.</w:t>
      </w:r>
    </w:p>
    <w:p w14:paraId="1B6248E4" w14:textId="5D7C89C1" w:rsidR="00A001B4" w:rsidRPr="00CD5B65" w:rsidRDefault="00A001B4" w:rsidP="00C1314E">
      <w:pPr>
        <w:ind w:left="1410" w:hanging="1410"/>
        <w:jc w:val="both"/>
      </w:pPr>
      <w:r w:rsidRPr="00CD5B65">
        <w:t xml:space="preserve">                </w:t>
      </w:r>
      <w:r w:rsidRPr="00CD5B65">
        <w:tab/>
      </w:r>
      <w:r w:rsidRPr="00CD5B65">
        <w:tab/>
        <w:t>Programmer un code simplifié pour le calcul des variances de blocs.</w:t>
      </w:r>
    </w:p>
    <w:p w14:paraId="7D804282" w14:textId="77777777" w:rsidR="00A001B4" w:rsidRPr="00CD5B65" w:rsidRDefault="00A001B4" w:rsidP="00C1314E">
      <w:pPr>
        <w:ind w:left="1410" w:hanging="1410"/>
        <w:jc w:val="both"/>
      </w:pPr>
    </w:p>
    <w:p w14:paraId="28635884" w14:textId="77777777" w:rsidR="00C301A0" w:rsidRPr="00CD5B65" w:rsidRDefault="00C301A0">
      <w:pPr>
        <w:pBdr>
          <w:bottom w:val="single" w:sz="4" w:space="1" w:color="auto"/>
        </w:pBdr>
        <w:jc w:val="both"/>
      </w:pPr>
    </w:p>
    <w:p w14:paraId="06479081" w14:textId="4D8E0AE7" w:rsidR="00076362" w:rsidRPr="00CD5B65" w:rsidRDefault="00076362">
      <w:pPr>
        <w:pBdr>
          <w:bottom w:val="single" w:sz="4" w:space="1" w:color="auto"/>
        </w:pBdr>
        <w:jc w:val="both"/>
      </w:pPr>
      <w:r w:rsidRPr="00CD5B65">
        <w:t xml:space="preserve">À remettre le </w:t>
      </w:r>
      <w:r w:rsidR="007F3BB8" w:rsidRPr="00CD5B65">
        <w:t>mardi</w:t>
      </w:r>
      <w:r w:rsidR="00597AA5" w:rsidRPr="00CD5B65">
        <w:t xml:space="preserve"> </w:t>
      </w:r>
      <w:r w:rsidR="000014A4" w:rsidRPr="00CD5B65">
        <w:t>10</w:t>
      </w:r>
      <w:r w:rsidRPr="00CD5B65">
        <w:t xml:space="preserve"> septembre</w:t>
      </w:r>
      <w:r w:rsidR="00F553FD" w:rsidRPr="00CD5B65">
        <w:t xml:space="preserve"> en papier</w:t>
      </w:r>
      <w:r w:rsidR="00FA24AB" w:rsidRPr="00CD5B65">
        <w:t xml:space="preserve"> (ou par courriel)</w:t>
      </w:r>
      <w:r w:rsidR="00F553FD" w:rsidRPr="00CD5B65">
        <w:t xml:space="preserve"> </w:t>
      </w:r>
      <w:r w:rsidR="00FA24AB" w:rsidRPr="00CD5B65">
        <w:t xml:space="preserve">avant le début du </w:t>
      </w:r>
      <w:r w:rsidR="00F553FD" w:rsidRPr="00CD5B65">
        <w:t>cours.</w:t>
      </w:r>
    </w:p>
    <w:p w14:paraId="027F6275" w14:textId="77777777" w:rsidR="0025582D" w:rsidRPr="00CD5B65" w:rsidRDefault="0025582D">
      <w:pPr>
        <w:pBdr>
          <w:bottom w:val="single" w:sz="4" w:space="1" w:color="auto"/>
        </w:pBdr>
        <w:jc w:val="both"/>
      </w:pPr>
    </w:p>
    <w:p w14:paraId="6BF0E1D1" w14:textId="77777777" w:rsidR="00C301A0" w:rsidRPr="00CD5B65" w:rsidRDefault="00C301A0">
      <w:pPr>
        <w:jc w:val="both"/>
      </w:pPr>
    </w:p>
    <w:p w14:paraId="1313FB6D" w14:textId="77777777" w:rsidR="00076362" w:rsidRPr="00CD5B65" w:rsidRDefault="00076362" w:rsidP="00076362">
      <w:pPr>
        <w:tabs>
          <w:tab w:val="left" w:pos="-2410"/>
          <w:tab w:val="left" w:pos="-1985"/>
          <w:tab w:val="left" w:pos="-1701"/>
          <w:tab w:val="left" w:pos="-1440"/>
          <w:tab w:val="left" w:pos="0"/>
        </w:tabs>
        <w:suppressAutoHyphens/>
        <w:ind w:left="426" w:hanging="1146"/>
        <w:jc w:val="both"/>
        <w:rPr>
          <w:spacing w:val="-3"/>
        </w:rPr>
      </w:pPr>
      <w:r w:rsidRPr="00CD5B65">
        <w:rPr>
          <w:spacing w:val="-3"/>
        </w:rPr>
        <w:tab/>
        <w:t xml:space="preserve">1-   Une carrière de calcaire est exploitée pour la production du ciment. L’objectif de la compagnie est d’obtenir un produit très homogène. Pour ce faire, </w:t>
      </w:r>
      <w:r w:rsidRPr="00CD5B65">
        <w:rPr>
          <w:b/>
          <w:spacing w:val="-3"/>
        </w:rPr>
        <w:t>elle ne peut se permettre un écart-type, mesuré sur la durée de vie de la carrière (celle-ci est grande par rapport à la portée du variogramme</w:t>
      </w:r>
      <w:proofErr w:type="gramStart"/>
      <w:r w:rsidRPr="00CD5B65">
        <w:rPr>
          <w:b/>
          <w:spacing w:val="-3"/>
        </w:rPr>
        <w:t>),  supérieur</w:t>
      </w:r>
      <w:proofErr w:type="gramEnd"/>
      <w:r w:rsidRPr="00CD5B65">
        <w:rPr>
          <w:b/>
          <w:spacing w:val="-3"/>
        </w:rPr>
        <w:t xml:space="preserve"> à 2.0% pour la teneur en silice d’un volume équivalent à la capacité du silo, soit 125m</w:t>
      </w:r>
      <w:r w:rsidRPr="00CD5B65">
        <w:rPr>
          <w:b/>
          <w:spacing w:val="-3"/>
          <w:vertAlign w:val="superscript"/>
        </w:rPr>
        <w:t>3</w:t>
      </w:r>
      <w:r w:rsidRPr="00CD5B65">
        <w:rPr>
          <w:spacing w:val="-3"/>
        </w:rPr>
        <w:t>. Les teneurs en silice ayant permis d’obtenir le variogramme ont été mesurées en carrière à partir de trous de forages. On a retenu un variogramme sphérique avec C</w:t>
      </w:r>
      <w:r w:rsidRPr="00CD5B65">
        <w:rPr>
          <w:spacing w:val="-3"/>
          <w:vertAlign w:val="subscript"/>
        </w:rPr>
        <w:t>0</w:t>
      </w:r>
      <w:r w:rsidRPr="00CD5B65">
        <w:rPr>
          <w:spacing w:val="-3"/>
        </w:rPr>
        <w:t>=0.5%</w:t>
      </w:r>
      <w:r w:rsidRPr="00CD5B65">
        <w:rPr>
          <w:spacing w:val="-3"/>
          <w:vertAlign w:val="superscript"/>
        </w:rPr>
        <w:t>2</w:t>
      </w:r>
      <w:r w:rsidRPr="00CD5B65">
        <w:rPr>
          <w:spacing w:val="-3"/>
        </w:rPr>
        <w:t>, C=20%</w:t>
      </w:r>
      <w:r w:rsidRPr="00CD5B65">
        <w:rPr>
          <w:spacing w:val="-3"/>
          <w:vertAlign w:val="superscript"/>
        </w:rPr>
        <w:t>2</w:t>
      </w:r>
      <w:r w:rsidRPr="00CD5B65">
        <w:rPr>
          <w:spacing w:val="-3"/>
        </w:rPr>
        <w:t xml:space="preserve"> et une portée isotrope de 50m. L’exploitation se fait par banc (5m) et </w:t>
      </w:r>
      <w:r w:rsidRPr="00CD5B65">
        <w:rPr>
          <w:b/>
          <w:spacing w:val="-3"/>
          <w:u w:val="single"/>
        </w:rPr>
        <w:t>les teneurs mesurées représentent l’épaisseur totale du banc. Le gisement peut donc être considéré comme un gisement 2D.</w:t>
      </w:r>
      <w:r w:rsidRPr="00CD5B65">
        <w:rPr>
          <w:spacing w:val="-3"/>
        </w:rPr>
        <w:t xml:space="preserve"> La densité de la roche est 3t/m</w:t>
      </w:r>
      <w:r w:rsidRPr="00CD5B65">
        <w:rPr>
          <w:spacing w:val="-3"/>
          <w:vertAlign w:val="superscript"/>
        </w:rPr>
        <w:t>3</w:t>
      </w:r>
      <w:r w:rsidRPr="00CD5B65">
        <w:rPr>
          <w:spacing w:val="-3"/>
        </w:rPr>
        <w:t>. Le volume présent dans le silo d’homogénéisation est de 125m</w:t>
      </w:r>
      <w:r w:rsidRPr="00CD5B65">
        <w:rPr>
          <w:spacing w:val="-3"/>
          <w:vertAlign w:val="superscript"/>
        </w:rPr>
        <w:t>3</w:t>
      </w:r>
      <w:r w:rsidRPr="00CD5B65">
        <w:rPr>
          <w:spacing w:val="-3"/>
        </w:rPr>
        <w:t xml:space="preserve"> correspondant à des blocs élémentaires à la carrière de 5m x 5m x 5m.</w:t>
      </w:r>
    </w:p>
    <w:p w14:paraId="00A14FC1"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spacing w:val="-3"/>
        </w:rPr>
      </w:pPr>
    </w:p>
    <w:p w14:paraId="477D59B5" w14:textId="77777777" w:rsidR="00076362" w:rsidRPr="00CD5B65" w:rsidRDefault="00076362" w:rsidP="00076362">
      <w:pPr>
        <w:pStyle w:val="BodyText"/>
        <w:rPr>
          <w:bCs/>
        </w:rPr>
      </w:pPr>
      <w:r w:rsidRPr="00CD5B65">
        <w:rPr>
          <w:bCs/>
        </w:rPr>
        <w:t xml:space="preserve">La compagnie examine les 3 alternatives suivantes. Quelle serait votre recommandation ? Faites tous les calculs requis. </w:t>
      </w:r>
    </w:p>
    <w:p w14:paraId="2EE7503E"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spacing w:val="-3"/>
        </w:rPr>
      </w:pPr>
    </w:p>
    <w:p w14:paraId="7AFE3782"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A</w:t>
      </w:r>
      <w:proofErr w:type="gramStart"/>
      <w:r w:rsidRPr="00CD5B65">
        <w:rPr>
          <w:spacing w:val="-3"/>
        </w:rPr>
        <w:t>1:</w:t>
      </w:r>
      <w:proofErr w:type="gramEnd"/>
      <w:r w:rsidRPr="00CD5B65">
        <w:rPr>
          <w:spacing w:val="-3"/>
        </w:rPr>
        <w:t xml:space="preserve"> Ne pas faire de pré-homogénéisation et envoyer directement les blocs minés au concasseur puis au silo d’homogénéisation. Cette solution présente le plus bas coût d’exploitation.</w:t>
      </w:r>
    </w:p>
    <w:p w14:paraId="05A46007"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spacing w:val="-3"/>
        </w:rPr>
      </w:pPr>
    </w:p>
    <w:p w14:paraId="0E04B24E"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A</w:t>
      </w:r>
      <w:proofErr w:type="gramStart"/>
      <w:r w:rsidRPr="00CD5B65">
        <w:rPr>
          <w:spacing w:val="-3"/>
        </w:rPr>
        <w:t>2:</w:t>
      </w:r>
      <w:proofErr w:type="gramEnd"/>
      <w:r w:rsidRPr="00CD5B65">
        <w:rPr>
          <w:spacing w:val="-3"/>
        </w:rPr>
        <w:t xml:space="preserve"> Ne pas faire de pré-homogénéisation mais exploiter le dépôt à l’aide de 2 points de chargement très espacés dans la carrière (bien </w:t>
      </w:r>
      <w:proofErr w:type="spellStart"/>
      <w:r w:rsidRPr="00CD5B65">
        <w:rPr>
          <w:spacing w:val="-3"/>
        </w:rPr>
        <w:t>au delà</w:t>
      </w:r>
      <w:proofErr w:type="spellEnd"/>
      <w:r w:rsidRPr="00CD5B65">
        <w:rPr>
          <w:spacing w:val="-3"/>
        </w:rPr>
        <w:t xml:space="preserve"> de la portée du variogramme). Cette solution demande l’utilisation de 2 pelles et 4 camions et implique des coûts additionnels par rapport à la solution A1. Considérez que le matériau est fourni en quantité égale par chaque point de chargement et que chaque volume élémentaire de 125m</w:t>
      </w:r>
      <w:proofErr w:type="gramStart"/>
      <w:r w:rsidRPr="00CD5B65">
        <w:rPr>
          <w:spacing w:val="-3"/>
          <w:vertAlign w:val="superscript"/>
        </w:rPr>
        <w:t>3</w:t>
      </w:r>
      <w:r w:rsidRPr="00CD5B65">
        <w:rPr>
          <w:spacing w:val="-3"/>
        </w:rPr>
        <w:t xml:space="preserve">  (</w:t>
      </w:r>
      <w:proofErr w:type="gramEnd"/>
      <w:r w:rsidRPr="00CD5B65">
        <w:rPr>
          <w:spacing w:val="-3"/>
        </w:rPr>
        <w:t xml:space="preserve">silo) est constitué de 2 blocs de 2.5m x 5m x 5m à la carrière. (Note : le terme </w:t>
      </w:r>
      <w:proofErr w:type="gramStart"/>
      <w:r w:rsidRPr="00CD5B65">
        <w:rPr>
          <w:spacing w:val="-3"/>
        </w:rPr>
        <w:t>F(</w:t>
      </w:r>
      <w:proofErr w:type="gramEnd"/>
      <w:r w:rsidRPr="00CD5B65">
        <w:rPr>
          <w:spacing w:val="-3"/>
        </w:rPr>
        <w:t>2.5/50,5/50) vaut 0.06)</w:t>
      </w:r>
    </w:p>
    <w:p w14:paraId="653911EE"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spacing w:val="-3"/>
        </w:rPr>
      </w:pPr>
    </w:p>
    <w:p w14:paraId="5971CF1F"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
          <w:spacing w:val="-3"/>
          <w:u w:val="single"/>
        </w:rPr>
      </w:pPr>
      <w:r w:rsidRPr="00CD5B65">
        <w:rPr>
          <w:spacing w:val="-3"/>
        </w:rPr>
        <w:t>A</w:t>
      </w:r>
      <w:proofErr w:type="gramStart"/>
      <w:r w:rsidRPr="00CD5B65">
        <w:rPr>
          <w:spacing w:val="-3"/>
        </w:rPr>
        <w:t>3:</w:t>
      </w:r>
      <w:proofErr w:type="gramEnd"/>
      <w:r w:rsidRPr="00CD5B65">
        <w:rPr>
          <w:spacing w:val="-3"/>
        </w:rPr>
        <w:t xml:space="preserve"> Construire un hall de pré-homogénéisation de capacité 97500t correspondant</w:t>
      </w:r>
      <w:r w:rsidR="00F97102" w:rsidRPr="00CD5B65">
        <w:rPr>
          <w:spacing w:val="-3"/>
        </w:rPr>
        <w:t>,</w:t>
      </w:r>
      <w:r w:rsidRPr="00CD5B65">
        <w:rPr>
          <w:spacing w:val="-3"/>
        </w:rPr>
        <w:t xml:space="preserve"> à la carrière</w:t>
      </w:r>
      <w:r w:rsidR="00F97102" w:rsidRPr="00CD5B65">
        <w:rPr>
          <w:spacing w:val="-3"/>
        </w:rPr>
        <w:t>,</w:t>
      </w:r>
      <w:r w:rsidRPr="00CD5B65">
        <w:rPr>
          <w:spacing w:val="-3"/>
        </w:rPr>
        <w:t xml:space="preserve"> à un bloc de 100m x 65m x 5m (1 mois de production). Vous pouvez considérer que chaque </w:t>
      </w:r>
      <w:proofErr w:type="gramStart"/>
      <w:r w:rsidRPr="00CD5B65">
        <w:rPr>
          <w:spacing w:val="-3"/>
        </w:rPr>
        <w:t>tranche  récupérée</w:t>
      </w:r>
      <w:proofErr w:type="gramEnd"/>
      <w:r w:rsidRPr="00CD5B65">
        <w:rPr>
          <w:spacing w:val="-3"/>
        </w:rPr>
        <w:t xml:space="preserve"> transversalement à la pile correspond au volume d’un silo.</w:t>
      </w:r>
    </w:p>
    <w:p w14:paraId="7E23B52B"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spacing w:val="-3"/>
        </w:rPr>
      </w:pPr>
    </w:p>
    <w:p w14:paraId="3AEA3BD1" w14:textId="77777777" w:rsidR="00076362" w:rsidRPr="00CD5B65" w:rsidRDefault="00076362" w:rsidP="00076362">
      <w:pPr>
        <w:pBdr>
          <w:bottom w:val="single" w:sz="4" w:space="1" w:color="auto"/>
        </w:pBdr>
        <w:tabs>
          <w:tab w:val="left" w:pos="-1440"/>
          <w:tab w:val="left" w:pos="-720"/>
          <w:tab w:val="left" w:pos="0"/>
          <w:tab w:val="left" w:pos="403"/>
          <w:tab w:val="left" w:pos="720"/>
          <w:tab w:val="left" w:pos="1440"/>
          <w:tab w:val="left" w:pos="1882"/>
          <w:tab w:val="left" w:pos="2160"/>
        </w:tabs>
        <w:suppressAutoHyphens/>
        <w:jc w:val="both"/>
        <w:rPr>
          <w:bCs/>
          <w:spacing w:val="-3"/>
        </w:rPr>
      </w:pPr>
    </w:p>
    <w:p w14:paraId="47058AE1"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spacing w:val="-3"/>
        </w:rPr>
      </w:pPr>
    </w:p>
    <w:p w14:paraId="3AADBE4B"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spacing w:val="-3"/>
        </w:rPr>
      </w:pPr>
      <w:r w:rsidRPr="00CD5B65">
        <w:rPr>
          <w:bCs/>
          <w:spacing w:val="-3"/>
        </w:rPr>
        <w:t>2- Soit les données suivantes :</w:t>
      </w:r>
    </w:p>
    <w:p w14:paraId="366A13F2"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spacing w:val="-3"/>
        </w:rPr>
      </w:pPr>
    </w:p>
    <w:tbl>
      <w:tblPr>
        <w:tblW w:w="0" w:type="auto"/>
        <w:jc w:val="center"/>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992"/>
        <w:gridCol w:w="569"/>
        <w:gridCol w:w="1738"/>
        <w:gridCol w:w="1642"/>
      </w:tblGrid>
      <w:tr w:rsidR="00076362" w:rsidRPr="00CD5B65" w14:paraId="0532E788" w14:textId="77777777">
        <w:trPr>
          <w:jc w:val="center"/>
        </w:trPr>
        <w:tc>
          <w:tcPr>
            <w:tcW w:w="992" w:type="dxa"/>
            <w:tcBorders>
              <w:bottom w:val="single" w:sz="6" w:space="0" w:color="008000"/>
            </w:tcBorders>
          </w:tcPr>
          <w:p w14:paraId="1E8BF672"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point #</w:t>
            </w:r>
          </w:p>
        </w:tc>
        <w:tc>
          <w:tcPr>
            <w:tcW w:w="569" w:type="dxa"/>
            <w:tcBorders>
              <w:bottom w:val="single" w:sz="6" w:space="0" w:color="008000"/>
            </w:tcBorders>
          </w:tcPr>
          <w:p w14:paraId="7A7A2A7C"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x</w:t>
            </w:r>
          </w:p>
        </w:tc>
        <w:tc>
          <w:tcPr>
            <w:tcW w:w="1738" w:type="dxa"/>
            <w:tcBorders>
              <w:bottom w:val="single" w:sz="6" w:space="0" w:color="008000"/>
            </w:tcBorders>
          </w:tcPr>
          <w:p w14:paraId="3BBCC44B"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proofErr w:type="spellStart"/>
            <w:r w:rsidRPr="00CD5B65">
              <w:rPr>
                <w:spacing w:val="-3"/>
                <w:lang w:val="en-US"/>
              </w:rPr>
              <w:t>poids</w:t>
            </w:r>
            <w:proofErr w:type="spellEnd"/>
            <w:r w:rsidRPr="00CD5B65">
              <w:rPr>
                <w:spacing w:val="-3"/>
                <w:lang w:val="en-US"/>
              </w:rPr>
              <w:t xml:space="preserve"> </w:t>
            </w:r>
            <w:proofErr w:type="spellStart"/>
            <w:proofErr w:type="gramStart"/>
            <w:r w:rsidRPr="00CD5B65">
              <w:rPr>
                <w:spacing w:val="-3"/>
                <w:lang w:val="en-US"/>
              </w:rPr>
              <w:t>inv.dist</w:t>
            </w:r>
            <w:proofErr w:type="spellEnd"/>
            <w:proofErr w:type="gramEnd"/>
          </w:p>
        </w:tc>
        <w:tc>
          <w:tcPr>
            <w:tcW w:w="1642" w:type="dxa"/>
            <w:tcBorders>
              <w:bottom w:val="single" w:sz="6" w:space="0" w:color="008000"/>
            </w:tcBorders>
          </w:tcPr>
          <w:p w14:paraId="53C344CA"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vertAlign w:val="superscript"/>
                <w:lang w:val="en-US"/>
              </w:rPr>
            </w:pPr>
            <w:proofErr w:type="spellStart"/>
            <w:r w:rsidRPr="00CD5B65">
              <w:rPr>
                <w:spacing w:val="-3"/>
                <w:lang w:val="en-US"/>
              </w:rPr>
              <w:t>poids</w:t>
            </w:r>
            <w:proofErr w:type="spellEnd"/>
            <w:r w:rsidRPr="00CD5B65">
              <w:rPr>
                <w:spacing w:val="-3"/>
                <w:lang w:val="en-US"/>
              </w:rPr>
              <w:t xml:space="preserve"> inv dist</w:t>
            </w:r>
            <w:r w:rsidRPr="00CD5B65">
              <w:rPr>
                <w:vertAlign w:val="superscript"/>
                <w:lang w:val="en-US"/>
              </w:rPr>
              <w:t>2</w:t>
            </w:r>
          </w:p>
        </w:tc>
      </w:tr>
      <w:tr w:rsidR="00076362" w:rsidRPr="00CD5B65" w14:paraId="2E86306C" w14:textId="77777777">
        <w:trPr>
          <w:jc w:val="center"/>
        </w:trPr>
        <w:tc>
          <w:tcPr>
            <w:tcW w:w="992" w:type="dxa"/>
            <w:tcBorders>
              <w:top w:val="single" w:sz="6" w:space="0" w:color="008000"/>
            </w:tcBorders>
          </w:tcPr>
          <w:p w14:paraId="0CE90056"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x1</w:t>
            </w:r>
          </w:p>
        </w:tc>
        <w:tc>
          <w:tcPr>
            <w:tcW w:w="569" w:type="dxa"/>
            <w:tcBorders>
              <w:top w:val="single" w:sz="6" w:space="0" w:color="008000"/>
            </w:tcBorders>
          </w:tcPr>
          <w:p w14:paraId="61BE91FF"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0</w:t>
            </w:r>
          </w:p>
        </w:tc>
        <w:tc>
          <w:tcPr>
            <w:tcW w:w="1738" w:type="dxa"/>
            <w:tcBorders>
              <w:top w:val="single" w:sz="6" w:space="0" w:color="008000"/>
            </w:tcBorders>
          </w:tcPr>
          <w:p w14:paraId="66F3CAA9"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0.2</w:t>
            </w:r>
          </w:p>
        </w:tc>
        <w:tc>
          <w:tcPr>
            <w:tcW w:w="1642" w:type="dxa"/>
            <w:tcBorders>
              <w:top w:val="single" w:sz="6" w:space="0" w:color="008000"/>
            </w:tcBorders>
          </w:tcPr>
          <w:p w14:paraId="31B2AC3B"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0.06</w:t>
            </w:r>
          </w:p>
        </w:tc>
      </w:tr>
      <w:tr w:rsidR="00076362" w:rsidRPr="00CD5B65" w14:paraId="5374AAC5" w14:textId="77777777">
        <w:trPr>
          <w:jc w:val="center"/>
        </w:trPr>
        <w:tc>
          <w:tcPr>
            <w:tcW w:w="992" w:type="dxa"/>
          </w:tcPr>
          <w:p w14:paraId="6CFC62AB"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x2</w:t>
            </w:r>
          </w:p>
        </w:tc>
        <w:tc>
          <w:tcPr>
            <w:tcW w:w="569" w:type="dxa"/>
          </w:tcPr>
          <w:p w14:paraId="2962263F"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10</w:t>
            </w:r>
          </w:p>
        </w:tc>
        <w:tc>
          <w:tcPr>
            <w:tcW w:w="1738" w:type="dxa"/>
          </w:tcPr>
          <w:p w14:paraId="3561F68F"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0.8</w:t>
            </w:r>
          </w:p>
        </w:tc>
        <w:tc>
          <w:tcPr>
            <w:tcW w:w="1642" w:type="dxa"/>
          </w:tcPr>
          <w:p w14:paraId="0A3CA438"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0.94</w:t>
            </w:r>
          </w:p>
        </w:tc>
      </w:tr>
      <w:tr w:rsidR="00076362" w:rsidRPr="00CD5B65" w14:paraId="73B195BA" w14:textId="77777777">
        <w:trPr>
          <w:jc w:val="center"/>
        </w:trPr>
        <w:tc>
          <w:tcPr>
            <w:tcW w:w="992" w:type="dxa"/>
          </w:tcPr>
          <w:p w14:paraId="3DC82AC6"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x0</w:t>
            </w:r>
          </w:p>
        </w:tc>
        <w:tc>
          <w:tcPr>
            <w:tcW w:w="569" w:type="dxa"/>
          </w:tcPr>
          <w:p w14:paraId="431DB44A"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rPr>
            </w:pPr>
            <w:r w:rsidRPr="00CD5B65">
              <w:rPr>
                <w:spacing w:val="-3"/>
              </w:rPr>
              <w:t>8</w:t>
            </w:r>
          </w:p>
        </w:tc>
        <w:tc>
          <w:tcPr>
            <w:tcW w:w="1738" w:type="dxa"/>
          </w:tcPr>
          <w:p w14:paraId="659A43DC"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rPr>
            </w:pPr>
            <w:r w:rsidRPr="00CD5B65">
              <w:rPr>
                <w:spacing w:val="-3"/>
              </w:rPr>
              <w:t>Point à estimer</w:t>
            </w:r>
          </w:p>
        </w:tc>
        <w:tc>
          <w:tcPr>
            <w:tcW w:w="1642" w:type="dxa"/>
          </w:tcPr>
          <w:p w14:paraId="6A2A4BFA"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rPr>
            </w:pPr>
          </w:p>
        </w:tc>
      </w:tr>
    </w:tbl>
    <w:p w14:paraId="7EC9ED96"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spacing w:val="-3"/>
        </w:rPr>
      </w:pPr>
    </w:p>
    <w:p w14:paraId="23AC9EC9"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rPr>
      </w:pPr>
      <w:r w:rsidRPr="00CD5B65">
        <w:rPr>
          <w:bCs/>
          <w:spacing w:val="-3"/>
        </w:rPr>
        <w:t>Le variogramme est sphérique avec C</w:t>
      </w:r>
      <w:r w:rsidRPr="00CD5B65">
        <w:rPr>
          <w:bCs/>
          <w:vertAlign w:val="subscript"/>
        </w:rPr>
        <w:t>0=</w:t>
      </w:r>
      <w:r w:rsidRPr="00CD5B65">
        <w:rPr>
          <w:bCs/>
        </w:rPr>
        <w:t>1%</w:t>
      </w:r>
      <w:r w:rsidRPr="00CD5B65">
        <w:rPr>
          <w:bCs/>
          <w:vertAlign w:val="superscript"/>
        </w:rPr>
        <w:t>2</w:t>
      </w:r>
      <w:r w:rsidRPr="00CD5B65">
        <w:rPr>
          <w:bCs/>
        </w:rPr>
        <w:t>, C=2%</w:t>
      </w:r>
      <w:r w:rsidRPr="00CD5B65">
        <w:rPr>
          <w:bCs/>
          <w:vertAlign w:val="superscript"/>
        </w:rPr>
        <w:t>2</w:t>
      </w:r>
      <w:r w:rsidRPr="00CD5B65">
        <w:rPr>
          <w:bCs/>
        </w:rPr>
        <w:t xml:space="preserve"> et a=30m.</w:t>
      </w:r>
    </w:p>
    <w:p w14:paraId="30545246"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rPr>
      </w:pPr>
    </w:p>
    <w:p w14:paraId="2DE50552"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spacing w:val="-3"/>
        </w:rPr>
      </w:pPr>
      <w:r w:rsidRPr="00CD5B65">
        <w:rPr>
          <w:bCs/>
          <w:spacing w:val="-3"/>
        </w:rPr>
        <w:t>Rappel :</w:t>
      </w:r>
    </w:p>
    <w:p w14:paraId="4609F5FA"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ind w:left="720"/>
      </w:pPr>
      <w:r w:rsidRPr="00CD5B65">
        <w:sym w:font="Symbol" w:char="F067"/>
      </w:r>
      <w:r w:rsidRPr="00CD5B65">
        <w:t>(h)   =C</w:t>
      </w:r>
      <w:r w:rsidRPr="00CD5B65">
        <w:rPr>
          <w:vertAlign w:val="subscript"/>
        </w:rPr>
        <w:t>0</w:t>
      </w:r>
      <w:r w:rsidRPr="00CD5B65">
        <w:t>+C(1.5*(h/</w:t>
      </w:r>
      <w:proofErr w:type="gramStart"/>
      <w:r w:rsidRPr="00CD5B65">
        <w:t>a)-</w:t>
      </w:r>
      <w:proofErr w:type="gramEnd"/>
      <w:r w:rsidRPr="00CD5B65">
        <w:t>0.5*(h/a)</w:t>
      </w:r>
      <w:r w:rsidRPr="00CD5B65">
        <w:rPr>
          <w:vertAlign w:val="superscript"/>
        </w:rPr>
        <w:t>3</w:t>
      </w:r>
      <w:r w:rsidRPr="00CD5B65">
        <w:t xml:space="preserve">) </w:t>
      </w:r>
      <w:r w:rsidRPr="00CD5B65">
        <w:tab/>
        <w:t xml:space="preserve">pour h </w:t>
      </w:r>
      <w:r w:rsidRPr="00CD5B65">
        <w:sym w:font="Symbol" w:char="F0A3"/>
      </w:r>
      <w:r w:rsidRPr="00CD5B65">
        <w:t xml:space="preserve"> a</w:t>
      </w:r>
    </w:p>
    <w:p w14:paraId="072E53D6"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ind w:left="720"/>
      </w:pPr>
      <w:r w:rsidRPr="00CD5B65">
        <w:t xml:space="preserve">          =C</w:t>
      </w:r>
      <w:r w:rsidRPr="00CD5B65">
        <w:rPr>
          <w:vertAlign w:val="subscript"/>
        </w:rPr>
        <w:t>0</w:t>
      </w:r>
      <w:r w:rsidRPr="00CD5B65">
        <w:t>+</w:t>
      </w:r>
      <w:proofErr w:type="gramStart"/>
      <w:r w:rsidRPr="00CD5B65">
        <w:t xml:space="preserve">C  </w:t>
      </w:r>
      <w:r w:rsidRPr="00CD5B65">
        <w:tab/>
      </w:r>
      <w:proofErr w:type="gramEnd"/>
      <w:r w:rsidRPr="00CD5B65">
        <w:tab/>
      </w:r>
      <w:r w:rsidRPr="00CD5B65">
        <w:tab/>
      </w:r>
      <w:r w:rsidRPr="00CD5B65">
        <w:tab/>
        <w:t>pour h</w:t>
      </w:r>
      <w:r w:rsidRPr="00CD5B65">
        <w:sym w:font="Symbol" w:char="F03E"/>
      </w:r>
      <w:r w:rsidRPr="00CD5B65">
        <w:t>a</w:t>
      </w:r>
    </w:p>
    <w:p w14:paraId="1752EE52"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ind w:left="720"/>
        <w:jc w:val="both"/>
        <w:rPr>
          <w:bCs/>
          <w:spacing w:val="-3"/>
        </w:rPr>
      </w:pPr>
      <w:r w:rsidRPr="00CD5B65">
        <w:rPr>
          <w:bCs/>
          <w:spacing w:val="-3"/>
        </w:rPr>
        <w:t xml:space="preserve">           =0     </w:t>
      </w:r>
      <w:r w:rsidRPr="00CD5B65">
        <w:rPr>
          <w:bCs/>
          <w:spacing w:val="-3"/>
        </w:rPr>
        <w:tab/>
      </w:r>
      <w:r w:rsidRPr="00CD5B65">
        <w:rPr>
          <w:bCs/>
          <w:spacing w:val="-3"/>
        </w:rPr>
        <w:tab/>
      </w:r>
      <w:r w:rsidRPr="00CD5B65">
        <w:rPr>
          <w:bCs/>
          <w:spacing w:val="-3"/>
        </w:rPr>
        <w:tab/>
      </w:r>
      <w:r w:rsidRPr="00CD5B65">
        <w:rPr>
          <w:bCs/>
          <w:spacing w:val="-3"/>
        </w:rPr>
        <w:tab/>
      </w:r>
      <w:r w:rsidRPr="00CD5B65">
        <w:rPr>
          <w:bCs/>
          <w:spacing w:val="-3"/>
        </w:rPr>
        <w:tab/>
        <w:t>pour h=0</w:t>
      </w:r>
    </w:p>
    <w:p w14:paraId="638D6E65"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spacing w:val="-3"/>
        </w:rPr>
      </w:pPr>
    </w:p>
    <w:tbl>
      <w:tblPr>
        <w:tblW w:w="0" w:type="auto"/>
        <w:jc w:val="center"/>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564"/>
        <w:gridCol w:w="812"/>
      </w:tblGrid>
      <w:tr w:rsidR="00076362" w:rsidRPr="00CD5B65" w14:paraId="24A93EC0" w14:textId="77777777">
        <w:trPr>
          <w:jc w:val="center"/>
        </w:trPr>
        <w:tc>
          <w:tcPr>
            <w:tcW w:w="564" w:type="dxa"/>
            <w:tcBorders>
              <w:bottom w:val="single" w:sz="6" w:space="0" w:color="008000"/>
            </w:tcBorders>
          </w:tcPr>
          <w:p w14:paraId="43D0F1C8"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proofErr w:type="gramStart"/>
            <w:r w:rsidRPr="00CD5B65">
              <w:rPr>
                <w:spacing w:val="-3"/>
              </w:rPr>
              <w:t>h</w:t>
            </w:r>
            <w:proofErr w:type="gramEnd"/>
          </w:p>
        </w:tc>
        <w:tc>
          <w:tcPr>
            <w:tcW w:w="812" w:type="dxa"/>
            <w:tcBorders>
              <w:bottom w:val="single" w:sz="6" w:space="0" w:color="008000"/>
            </w:tcBorders>
          </w:tcPr>
          <w:p w14:paraId="41D85E5F"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position w:val="-10"/>
              </w:rPr>
              <w:object w:dxaOrig="480" w:dyaOrig="320" w14:anchorId="64CB5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4pt;height:16pt" o:ole="">
                  <v:imagedata r:id="rId7" o:title=""/>
                </v:shape>
                <o:OLEObject Type="Embed" ProgID="Equation.3" ShapeID="_x0000_i1045" DrawAspect="Content" ObjectID="_1781355843" r:id="rId8"/>
              </w:object>
            </w:r>
          </w:p>
        </w:tc>
      </w:tr>
      <w:tr w:rsidR="00076362" w:rsidRPr="00CD5B65" w14:paraId="2459BFD9" w14:textId="77777777">
        <w:trPr>
          <w:jc w:val="center"/>
        </w:trPr>
        <w:tc>
          <w:tcPr>
            <w:tcW w:w="564" w:type="dxa"/>
            <w:tcBorders>
              <w:top w:val="single" w:sz="6" w:space="0" w:color="008000"/>
            </w:tcBorders>
          </w:tcPr>
          <w:p w14:paraId="0BD9163B"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0</w:t>
            </w:r>
          </w:p>
        </w:tc>
        <w:tc>
          <w:tcPr>
            <w:tcW w:w="812" w:type="dxa"/>
            <w:tcBorders>
              <w:top w:val="single" w:sz="6" w:space="0" w:color="008000"/>
            </w:tcBorders>
          </w:tcPr>
          <w:p w14:paraId="22369E0B"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0</w:t>
            </w:r>
          </w:p>
        </w:tc>
      </w:tr>
      <w:tr w:rsidR="00076362" w:rsidRPr="00CD5B65" w14:paraId="36BD11FA" w14:textId="77777777">
        <w:trPr>
          <w:jc w:val="center"/>
        </w:trPr>
        <w:tc>
          <w:tcPr>
            <w:tcW w:w="564" w:type="dxa"/>
          </w:tcPr>
          <w:p w14:paraId="2221B5FC"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2</w:t>
            </w:r>
          </w:p>
        </w:tc>
        <w:tc>
          <w:tcPr>
            <w:tcW w:w="812" w:type="dxa"/>
          </w:tcPr>
          <w:p w14:paraId="024F4956"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1.20</w:t>
            </w:r>
          </w:p>
        </w:tc>
      </w:tr>
      <w:tr w:rsidR="00076362" w:rsidRPr="00CD5B65" w14:paraId="74E04421" w14:textId="77777777">
        <w:trPr>
          <w:jc w:val="center"/>
        </w:trPr>
        <w:tc>
          <w:tcPr>
            <w:tcW w:w="564" w:type="dxa"/>
          </w:tcPr>
          <w:p w14:paraId="0E678455"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8</w:t>
            </w:r>
          </w:p>
        </w:tc>
        <w:tc>
          <w:tcPr>
            <w:tcW w:w="812" w:type="dxa"/>
          </w:tcPr>
          <w:p w14:paraId="344C798F"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1.78</w:t>
            </w:r>
          </w:p>
        </w:tc>
      </w:tr>
      <w:tr w:rsidR="00076362" w:rsidRPr="00CD5B65" w14:paraId="23C0EF6B" w14:textId="77777777">
        <w:trPr>
          <w:jc w:val="center"/>
        </w:trPr>
        <w:tc>
          <w:tcPr>
            <w:tcW w:w="564" w:type="dxa"/>
          </w:tcPr>
          <w:p w14:paraId="5AA29661"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10</w:t>
            </w:r>
          </w:p>
        </w:tc>
        <w:tc>
          <w:tcPr>
            <w:tcW w:w="812" w:type="dxa"/>
          </w:tcPr>
          <w:p w14:paraId="2A6FF2C3"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1.96</w:t>
            </w:r>
          </w:p>
        </w:tc>
      </w:tr>
    </w:tbl>
    <w:p w14:paraId="3BADA7C6" w14:textId="77777777" w:rsidR="00076362" w:rsidRPr="00CD5B65" w:rsidRDefault="00076362" w:rsidP="00076362">
      <w:pPr>
        <w:pStyle w:val="BodyText"/>
        <w:rPr>
          <w:bCs/>
        </w:rPr>
      </w:pPr>
      <w:r w:rsidRPr="00CD5B65">
        <w:lastRenderedPageBreak/>
        <w:t>Calculez et comparez les variances d’estimation obtenues par inverse de la distance et par inverse de la distance au carré.</w:t>
      </w:r>
    </w:p>
    <w:p w14:paraId="100A30D9"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rPr>
      </w:pPr>
      <w:r w:rsidRPr="00CD5B65">
        <w:rPr>
          <w:bCs/>
          <w:spacing w:val="-3"/>
        </w:rPr>
        <w:t>3- On a une veine d’or dont le variogramme est sphérique avec C</w:t>
      </w:r>
      <w:r w:rsidRPr="00CD5B65">
        <w:rPr>
          <w:bCs/>
          <w:vertAlign w:val="subscript"/>
        </w:rPr>
        <w:t>0</w:t>
      </w:r>
      <w:r w:rsidRPr="00CD5B65">
        <w:rPr>
          <w:bCs/>
        </w:rPr>
        <w:t>=30ppm</w:t>
      </w:r>
      <w:proofErr w:type="gramStart"/>
      <w:r w:rsidRPr="00CD5B65">
        <w:rPr>
          <w:bCs/>
          <w:vertAlign w:val="superscript"/>
        </w:rPr>
        <w:t xml:space="preserve">2 </w:t>
      </w:r>
      <w:r w:rsidRPr="00CD5B65">
        <w:rPr>
          <w:bCs/>
        </w:rPr>
        <w:t>,</w:t>
      </w:r>
      <w:proofErr w:type="gramEnd"/>
      <w:r w:rsidRPr="00CD5B65">
        <w:rPr>
          <w:bCs/>
        </w:rPr>
        <w:t xml:space="preserve"> C=220ppm</w:t>
      </w:r>
      <w:r w:rsidRPr="00CD5B65">
        <w:rPr>
          <w:bCs/>
          <w:vertAlign w:val="superscript"/>
        </w:rPr>
        <w:t xml:space="preserve">2 </w:t>
      </w:r>
      <w:r w:rsidRPr="00CD5B65">
        <w:rPr>
          <w:bCs/>
        </w:rPr>
        <w:t xml:space="preserve"> et a=25m.</w:t>
      </w:r>
    </w:p>
    <w:p w14:paraId="7200A71B"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rPr>
      </w:pPr>
    </w:p>
    <w:p w14:paraId="1E17B271" w14:textId="77777777" w:rsidR="00076362" w:rsidRPr="00CD5B65" w:rsidRDefault="00076362" w:rsidP="00076362">
      <w:pPr>
        <w:pStyle w:val="BodyText"/>
      </w:pPr>
      <w:r w:rsidRPr="00CD5B65">
        <w:t>Calculez la variance d’estimation pour la moyenne globale de la veine obtenue avec chacun des patrons d’échantillonnage suivants et discutez les résultats obtenus en comparant les précisions en fonction du nombre d’observations et de la disposition de ceux-ci.</w:t>
      </w:r>
    </w:p>
    <w:p w14:paraId="0E2567CE" w14:textId="77777777" w:rsidR="00076362" w:rsidRPr="00CD5B65" w:rsidRDefault="00000000" w:rsidP="00076362">
      <w:pPr>
        <w:tabs>
          <w:tab w:val="left" w:pos="-1440"/>
          <w:tab w:val="left" w:pos="-720"/>
          <w:tab w:val="left" w:pos="0"/>
          <w:tab w:val="left" w:pos="403"/>
          <w:tab w:val="left" w:pos="720"/>
          <w:tab w:val="left" w:pos="1440"/>
          <w:tab w:val="left" w:pos="1882"/>
          <w:tab w:val="left" w:pos="2160"/>
        </w:tabs>
        <w:suppressAutoHyphens/>
        <w:jc w:val="both"/>
        <w:rPr>
          <w:bCs/>
        </w:rPr>
      </w:pPr>
      <w:r w:rsidRPr="00CD5B65">
        <w:rPr>
          <w:bCs/>
          <w:noProof/>
        </w:rPr>
        <w:pict w14:anchorId="217A8BAA">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48" type="#_x0000_t47" style="position:absolute;left:0;text-align:left;margin-left:355.05pt;margin-top:216.2pt;width:90pt;height:48pt;z-index:1" adj="-10944,8100,-1440,,-4320,-16200,-4320,-16200">
            <v:textbox style="mso-next-textbox:#_x0000_s1048">
              <w:txbxContent>
                <w:p w14:paraId="0B55FD4B" w14:textId="77777777" w:rsidR="0060579F" w:rsidRDefault="0060579F" w:rsidP="00076362">
                  <w:r>
                    <w:t>Cette zone ne fait pas partie du gisement.</w:t>
                  </w:r>
                </w:p>
              </w:txbxContent>
            </v:textbox>
            <o:callout v:ext="edit" minusy="t"/>
          </v:shape>
        </w:pict>
      </w:r>
      <w:r w:rsidRPr="00CD5B65">
        <w:rPr>
          <w:bCs/>
        </w:rPr>
        <w:pict w14:anchorId="67FDF975">
          <v:shape id="_x0000_i1046" type="#_x0000_t75" style="width:392pt;height:294.5pt">
            <v:imagedata r:id="rId9" o:title=""/>
          </v:shape>
        </w:pict>
      </w:r>
    </w:p>
    <w:p w14:paraId="4C0BF9A4"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rPr>
      </w:pPr>
    </w:p>
    <w:p w14:paraId="0274DE13" w14:textId="77777777" w:rsidR="00076362" w:rsidRPr="00CD5B65" w:rsidRDefault="00000000" w:rsidP="00076362">
      <w:pPr>
        <w:tabs>
          <w:tab w:val="left" w:pos="-1440"/>
          <w:tab w:val="left" w:pos="-720"/>
          <w:tab w:val="left" w:pos="0"/>
          <w:tab w:val="left" w:pos="403"/>
          <w:tab w:val="left" w:pos="720"/>
          <w:tab w:val="left" w:pos="1440"/>
          <w:tab w:val="left" w:pos="1882"/>
          <w:tab w:val="left" w:pos="2160"/>
        </w:tabs>
        <w:suppressAutoHyphens/>
        <w:jc w:val="both"/>
        <w:rPr>
          <w:bCs/>
        </w:rPr>
      </w:pPr>
      <w:r w:rsidRPr="00CD5B65">
        <w:rPr>
          <w:bCs/>
          <w:noProof/>
          <w:lang w:val="en-US"/>
        </w:rPr>
        <w:pict w14:anchorId="754CB1C6">
          <v:shape id="_x0000_s1049" type="#_x0000_t47" style="position:absolute;left:0;text-align:left;margin-left:364.05pt;margin-top:207.2pt;width:90pt;height:48pt;z-index:2" adj="-10944,8100,-1440,,-4320,-16200,-4320,-16200">
            <v:textbox style="mso-next-textbox:#_x0000_s1049">
              <w:txbxContent>
                <w:p w14:paraId="278AAB94" w14:textId="77777777" w:rsidR="0060579F" w:rsidRDefault="0060579F" w:rsidP="00076362">
                  <w:r>
                    <w:t>Cette zone ne fait pas partie du gisement.</w:t>
                  </w:r>
                </w:p>
              </w:txbxContent>
            </v:textbox>
            <o:callout v:ext="edit" minusy="t"/>
          </v:shape>
        </w:pict>
      </w:r>
      <w:r w:rsidRPr="00CD5B65">
        <w:rPr>
          <w:bCs/>
        </w:rPr>
        <w:pict w14:anchorId="1557FEAF">
          <v:shape id="_x0000_i1047" type="#_x0000_t75" style="width:392pt;height:294.5pt">
            <v:imagedata r:id="rId10" o:title=""/>
          </v:shape>
        </w:pict>
      </w:r>
    </w:p>
    <w:p w14:paraId="58783C0B"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rPr>
      </w:pPr>
    </w:p>
    <w:p w14:paraId="17A4543B" w14:textId="77777777" w:rsidR="00076362" w:rsidRPr="00CD5B65" w:rsidRDefault="00000000" w:rsidP="00076362">
      <w:pPr>
        <w:tabs>
          <w:tab w:val="left" w:pos="-1440"/>
          <w:tab w:val="left" w:pos="-720"/>
          <w:tab w:val="left" w:pos="0"/>
          <w:tab w:val="left" w:pos="403"/>
          <w:tab w:val="left" w:pos="720"/>
          <w:tab w:val="left" w:pos="1440"/>
          <w:tab w:val="left" w:pos="1882"/>
          <w:tab w:val="left" w:pos="2160"/>
        </w:tabs>
        <w:suppressAutoHyphens/>
        <w:jc w:val="both"/>
        <w:rPr>
          <w:bCs/>
        </w:rPr>
      </w:pPr>
      <w:r w:rsidRPr="00CD5B65">
        <w:rPr>
          <w:bCs/>
          <w:noProof/>
          <w:lang w:val="en-US"/>
        </w:rPr>
        <w:pict w14:anchorId="1A4D01E7">
          <v:shape id="_x0000_s1050" type="#_x0000_t47" style="position:absolute;left:0;text-align:left;margin-left:310.05pt;margin-top:171.2pt;width:90pt;height:48pt;z-index:3" adj="-12384,10800,-1440,,2160,-6750,2160,-6750">
            <v:textbox style="mso-next-textbox:#_x0000_s1050">
              <w:txbxContent>
                <w:p w14:paraId="25FF13EC" w14:textId="77777777" w:rsidR="0060579F" w:rsidRDefault="0060579F" w:rsidP="00076362">
                  <w:r>
                    <w:t>Cette zone ne fait pas partie du gisement.</w:t>
                  </w:r>
                </w:p>
              </w:txbxContent>
            </v:textbox>
            <o:callout v:ext="edit" minusy="t"/>
          </v:shape>
        </w:pict>
      </w:r>
      <w:r w:rsidRPr="00CD5B65">
        <w:rPr>
          <w:bCs/>
        </w:rPr>
        <w:pict w14:anchorId="6BD238BE">
          <v:shape id="_x0000_i1048" type="#_x0000_t75" style="width:334pt;height:251.5pt">
            <v:imagedata r:id="rId11" o:title=""/>
          </v:shape>
        </w:pict>
      </w:r>
    </w:p>
    <w:p w14:paraId="16402AEF" w14:textId="77777777" w:rsidR="00076362" w:rsidRPr="00CD5B65" w:rsidRDefault="00076362" w:rsidP="00076362">
      <w:pPr>
        <w:pBdr>
          <w:top w:val="single" w:sz="4" w:space="1" w:color="auto"/>
        </w:pBdr>
        <w:jc w:val="both"/>
      </w:pPr>
    </w:p>
    <w:p w14:paraId="36BBE1F3" w14:textId="77777777" w:rsidR="00076362" w:rsidRPr="00CD5B65" w:rsidRDefault="00076362" w:rsidP="00076362">
      <w:pPr>
        <w:pBdr>
          <w:top w:val="single" w:sz="4" w:space="1" w:color="auto"/>
        </w:pBdr>
        <w:jc w:val="both"/>
      </w:pPr>
      <w:r w:rsidRPr="00CD5B65">
        <w:t xml:space="preserve">4- On doit effectuer un levé bathymétrique </w:t>
      </w:r>
      <w:r w:rsidR="00217846" w:rsidRPr="00CD5B65">
        <w:t>dans un chenal</w:t>
      </w:r>
      <w:r w:rsidR="00441627" w:rsidRPr="00CD5B65">
        <w:t xml:space="preserve"> maritime</w:t>
      </w:r>
      <w:r w:rsidR="00217846" w:rsidRPr="00CD5B65">
        <w:t>. En se basant sur des levés antérieurs, on sait que le variogramme est sphérique avec C</w:t>
      </w:r>
      <w:r w:rsidR="00217846" w:rsidRPr="00CD5B65">
        <w:rPr>
          <w:vertAlign w:val="subscript"/>
        </w:rPr>
        <w:t>0</w:t>
      </w:r>
      <w:r w:rsidR="00217846" w:rsidRPr="00CD5B65">
        <w:t>=0, C=0.5 m</w:t>
      </w:r>
      <w:r w:rsidR="00217846" w:rsidRPr="00CD5B65">
        <w:rPr>
          <w:vertAlign w:val="superscript"/>
        </w:rPr>
        <w:t>2</w:t>
      </w:r>
      <w:r w:rsidR="00217846" w:rsidRPr="00CD5B65">
        <w:t xml:space="preserve">, et des portées longitudinales et transversales de </w:t>
      </w:r>
      <w:smartTag w:uri="urn:schemas-microsoft-com:office:smarttags" w:element="metricconverter">
        <w:smartTagPr>
          <w:attr w:name="ProductID" w:val="200 m"/>
        </w:smartTagPr>
        <w:r w:rsidR="00217846" w:rsidRPr="00CD5B65">
          <w:t>200 m</w:t>
        </w:r>
      </w:smartTag>
      <w:r w:rsidR="00217846" w:rsidRPr="00CD5B65">
        <w:t xml:space="preserve"> et </w:t>
      </w:r>
      <w:smartTag w:uri="urn:schemas-microsoft-com:office:smarttags" w:element="metricconverter">
        <w:smartTagPr>
          <w:attr w:name="ProductID" w:val="50 m"/>
        </w:smartTagPr>
        <w:r w:rsidR="00217846" w:rsidRPr="00CD5B65">
          <w:t>50 m</w:t>
        </w:r>
      </w:smartTag>
      <w:r w:rsidR="00217846" w:rsidRPr="00CD5B65">
        <w:t xml:space="preserve"> respectivement (anisotropie géométrique). On considère une portion du chenal </w:t>
      </w:r>
      <w:proofErr w:type="gramStart"/>
      <w:r w:rsidR="00217846" w:rsidRPr="00CD5B65">
        <w:t>faisant</w:t>
      </w:r>
      <w:proofErr w:type="gramEnd"/>
      <w:r w:rsidR="00217846" w:rsidRPr="00CD5B65">
        <w:t xml:space="preserve"> </w:t>
      </w:r>
      <w:smartTag w:uri="urn:schemas-microsoft-com:office:smarttags" w:element="metricconverter">
        <w:smartTagPr>
          <w:attr w:name="ProductID" w:val="200 m"/>
        </w:smartTagPr>
        <w:r w:rsidR="00217846" w:rsidRPr="00CD5B65">
          <w:t>200 m</w:t>
        </w:r>
      </w:smartTag>
      <w:r w:rsidR="00217846" w:rsidRPr="00CD5B65">
        <w:t xml:space="preserve"> (longitudinalement) par </w:t>
      </w:r>
      <w:smartTag w:uri="urn:schemas-microsoft-com:office:smarttags" w:element="metricconverter">
        <w:smartTagPr>
          <w:attr w:name="ProductID" w:val="100 m"/>
        </w:smartTagPr>
        <w:r w:rsidR="00217846" w:rsidRPr="00CD5B65">
          <w:t>100 m</w:t>
        </w:r>
      </w:smartTag>
      <w:r w:rsidR="00217846" w:rsidRPr="00CD5B65">
        <w:t xml:space="preserve"> (transversalement). Deux scénarios d’échantillonnage sont considérés</w:t>
      </w:r>
      <w:r w:rsidR="00CB7D73" w:rsidRPr="00CD5B65">
        <w:t>. D</w:t>
      </w:r>
      <w:r w:rsidR="00441627" w:rsidRPr="00CD5B65">
        <w:t xml:space="preserve">ans les deux cas, les lignes de levé sont centrées par rapport au bloc de </w:t>
      </w:r>
      <w:smartTag w:uri="urn:schemas-microsoft-com:office:smarttags" w:element="metricconverter">
        <w:smartTagPr>
          <w:attr w:name="ProductID" w:val="200 m"/>
        </w:smartTagPr>
        <w:r w:rsidR="00441627" w:rsidRPr="00CD5B65">
          <w:t>200</w:t>
        </w:r>
        <w:r w:rsidR="007442D0" w:rsidRPr="00CD5B65">
          <w:t xml:space="preserve"> </w:t>
        </w:r>
        <w:r w:rsidR="00441627" w:rsidRPr="00CD5B65">
          <w:t>m</w:t>
        </w:r>
      </w:smartTag>
      <w:r w:rsidR="00441627" w:rsidRPr="00CD5B65">
        <w:t xml:space="preserve"> x </w:t>
      </w:r>
      <w:smartTag w:uri="urn:schemas-microsoft-com:office:smarttags" w:element="metricconverter">
        <w:smartTagPr>
          <w:attr w:name="ProductID" w:val="100 m"/>
        </w:smartTagPr>
        <w:r w:rsidR="00441627" w:rsidRPr="00CD5B65">
          <w:t>100</w:t>
        </w:r>
        <w:r w:rsidR="007442D0" w:rsidRPr="00CD5B65">
          <w:t xml:space="preserve"> </w:t>
        </w:r>
        <w:r w:rsidR="00441627" w:rsidRPr="00CD5B65">
          <w:t>m</w:t>
        </w:r>
      </w:smartTag>
      <w:r w:rsidR="007442D0" w:rsidRPr="00CD5B65">
        <w:t xml:space="preserve"> et l’échantillonnage le long d</w:t>
      </w:r>
      <w:r w:rsidR="00CB7D73" w:rsidRPr="00CD5B65">
        <w:t>e la ligne de levé est à une fréquence suffisamment élevée pour la considérer comme connue</w:t>
      </w:r>
      <w:r w:rsidR="00DA4094" w:rsidRPr="00CD5B65">
        <w:t>. Soit les deux scénarios suivants :</w:t>
      </w:r>
    </w:p>
    <w:p w14:paraId="60D7F9EC" w14:textId="77777777" w:rsidR="00217846" w:rsidRPr="00CD5B65" w:rsidRDefault="00217846" w:rsidP="00076362">
      <w:pPr>
        <w:pBdr>
          <w:top w:val="single" w:sz="4" w:space="1" w:color="auto"/>
        </w:pBdr>
        <w:jc w:val="both"/>
      </w:pPr>
    </w:p>
    <w:p w14:paraId="589BB9FC" w14:textId="77777777" w:rsidR="00217846" w:rsidRPr="00CD5B65" w:rsidRDefault="00217846" w:rsidP="00076362">
      <w:pPr>
        <w:pBdr>
          <w:top w:val="single" w:sz="4" w:space="1" w:color="auto"/>
        </w:pBdr>
        <w:jc w:val="both"/>
      </w:pPr>
      <w:r w:rsidRPr="00CD5B65">
        <w:t>S1 : on fait le levé en suivant des longitudinales espacées aux 10 m ;</w:t>
      </w:r>
    </w:p>
    <w:p w14:paraId="693ADDEC" w14:textId="77777777" w:rsidR="00217846" w:rsidRPr="00CD5B65" w:rsidRDefault="00217846" w:rsidP="00076362">
      <w:pPr>
        <w:pBdr>
          <w:top w:val="single" w:sz="4" w:space="1" w:color="auto"/>
        </w:pBdr>
        <w:jc w:val="both"/>
      </w:pPr>
      <w:r w:rsidRPr="00CD5B65">
        <w:t xml:space="preserve">S2 : </w:t>
      </w:r>
      <w:r w:rsidR="00441627" w:rsidRPr="00CD5B65">
        <w:t xml:space="preserve">on suit des transversales espacées aux </w:t>
      </w:r>
      <w:smartTag w:uri="urn:schemas-microsoft-com:office:smarttags" w:element="metricconverter">
        <w:smartTagPr>
          <w:attr w:name="ProductID" w:val="20 m"/>
        </w:smartTagPr>
        <w:r w:rsidR="00441627" w:rsidRPr="00CD5B65">
          <w:t>20 m</w:t>
        </w:r>
      </w:smartTag>
      <w:r w:rsidR="00441627" w:rsidRPr="00CD5B65">
        <w:t>.</w:t>
      </w:r>
    </w:p>
    <w:p w14:paraId="12609DB9" w14:textId="77777777" w:rsidR="00441627" w:rsidRPr="00CD5B65" w:rsidRDefault="00441627" w:rsidP="00441627">
      <w:pPr>
        <w:jc w:val="both"/>
      </w:pPr>
    </w:p>
    <w:p w14:paraId="1F8F86C5" w14:textId="77777777" w:rsidR="00441627" w:rsidRPr="00CD5B65" w:rsidRDefault="00441627" w:rsidP="00441627">
      <w:pPr>
        <w:numPr>
          <w:ilvl w:val="0"/>
          <w:numId w:val="12"/>
        </w:numPr>
        <w:jc w:val="both"/>
      </w:pPr>
      <w:r w:rsidRPr="00CD5B65">
        <w:t xml:space="preserve">Quel scénario est le plus précis pour estimer la profondeur moyenne du bloc de </w:t>
      </w:r>
      <w:smartTag w:uri="urn:schemas-microsoft-com:office:smarttags" w:element="metricconverter">
        <w:smartTagPr>
          <w:attr w:name="ProductID" w:val="200 m"/>
        </w:smartTagPr>
        <w:r w:rsidRPr="00CD5B65">
          <w:t>200 m</w:t>
        </w:r>
      </w:smartTag>
      <w:r w:rsidRPr="00CD5B65">
        <w:t xml:space="preserve"> x 100 m ?</w:t>
      </w:r>
    </w:p>
    <w:p w14:paraId="6031EEC2" w14:textId="77777777" w:rsidR="00441627" w:rsidRPr="00CD5B65" w:rsidRDefault="00441627" w:rsidP="00441627">
      <w:pPr>
        <w:numPr>
          <w:ilvl w:val="0"/>
          <w:numId w:val="12"/>
        </w:numPr>
        <w:jc w:val="both"/>
      </w:pPr>
      <w:r w:rsidRPr="00CD5B65">
        <w:t>Quelle est la longueur totale d</w:t>
      </w:r>
      <w:r w:rsidR="000145B0" w:rsidRPr="00CD5B65">
        <w:t>u</w:t>
      </w:r>
      <w:r w:rsidRPr="00CD5B65">
        <w:t xml:space="preserve"> levé dans le bloc </w:t>
      </w:r>
      <w:r w:rsidR="000145B0" w:rsidRPr="00CD5B65">
        <w:t xml:space="preserve">pour chaque scénario </w:t>
      </w:r>
      <w:r w:rsidRPr="00CD5B65">
        <w:t>? (Négligez les raccords entre les lignes de levé)</w:t>
      </w:r>
    </w:p>
    <w:p w14:paraId="76A17558" w14:textId="77777777" w:rsidR="00441627" w:rsidRPr="00CD5B65" w:rsidRDefault="00441627" w:rsidP="00441627">
      <w:pPr>
        <w:numPr>
          <w:ilvl w:val="0"/>
          <w:numId w:val="12"/>
        </w:numPr>
        <w:jc w:val="both"/>
      </w:pPr>
      <w:r w:rsidRPr="00CD5B65">
        <w:t xml:space="preserve">Quelle serait votre </w:t>
      </w:r>
      <w:r w:rsidR="00CB7D73" w:rsidRPr="00CD5B65">
        <w:t>recommandation, adopter S1 ou S2 ?</w:t>
      </w:r>
    </w:p>
    <w:p w14:paraId="2B1FAE40" w14:textId="77777777" w:rsidR="000143B9" w:rsidRPr="00CD5B65" w:rsidRDefault="000143B9" w:rsidP="000143B9">
      <w:pPr>
        <w:jc w:val="both"/>
      </w:pPr>
    </w:p>
    <w:p w14:paraId="796C9BB2" w14:textId="77777777" w:rsidR="00441627" w:rsidRPr="00CD5B65" w:rsidRDefault="00441627" w:rsidP="000145B0">
      <w:pPr>
        <w:pBdr>
          <w:top w:val="single" w:sz="4" w:space="1" w:color="auto"/>
        </w:pBdr>
        <w:jc w:val="both"/>
      </w:pPr>
    </w:p>
    <w:p w14:paraId="569E02AF" w14:textId="77777777" w:rsidR="000A0E67" w:rsidRPr="00CD5B65" w:rsidRDefault="006D3594" w:rsidP="006D3594">
      <w:pPr>
        <w:tabs>
          <w:tab w:val="left" w:pos="-1440"/>
          <w:tab w:val="left" w:pos="-720"/>
          <w:tab w:val="left" w:pos="0"/>
          <w:tab w:val="left" w:pos="180"/>
          <w:tab w:val="left" w:pos="720"/>
          <w:tab w:val="left" w:pos="1440"/>
          <w:tab w:val="left" w:pos="1881"/>
          <w:tab w:val="left" w:pos="2160"/>
        </w:tabs>
        <w:suppressAutoHyphens/>
        <w:ind w:left="180" w:hanging="900"/>
      </w:pPr>
      <w:r w:rsidRPr="00CD5B65">
        <w:tab/>
      </w:r>
    </w:p>
    <w:p w14:paraId="06D9D9B5" w14:textId="77777777" w:rsidR="00021F2A" w:rsidRPr="00CD5B65" w:rsidRDefault="00021F2A" w:rsidP="006D3594">
      <w:r w:rsidRPr="00CD5B65">
        <w:t>5- Programmez une fonction « </w:t>
      </w:r>
      <w:proofErr w:type="spellStart"/>
      <w:r w:rsidRPr="00CD5B65">
        <w:t>covar</w:t>
      </w:r>
      <w:proofErr w:type="spellEnd"/>
      <w:r w:rsidRPr="00CD5B65">
        <w:t xml:space="preserve"> » pour calculer la covariance sphérique 2D (isotrope) entre une série de n1 points et une série de n2 points (distincts ou non). La fonction reçoit en entrée x1, x2, c0, c, a et retourne en sortie une matrice de covariance de taille n1 x n2 comprenant toutes les covariances entre les points dans x1 et ceux dans x2. </w:t>
      </w:r>
      <w:r w:rsidR="00D00D16" w:rsidRPr="00CD5B65">
        <w:t>L</w:t>
      </w:r>
      <w:r w:rsidRPr="00CD5B65">
        <w:t xml:space="preserve">es vecteurs x1 et x2 sont respectivement de taille n1 x 2 et n2 x 2 ; « c0 » est l’effet de pépite, « c » est le palier de la partie sphérique (palier total = c0+c) et « a » est la portée (isotrope) du modèle. Faites-moi parvenir votre fonction </w:t>
      </w:r>
      <w:proofErr w:type="spellStart"/>
      <w:r w:rsidRPr="00CD5B65">
        <w:t>covar.m</w:t>
      </w:r>
      <w:proofErr w:type="spellEnd"/>
      <w:r w:rsidRPr="00CD5B65">
        <w:t xml:space="preserve"> sous forme électronique.</w:t>
      </w:r>
    </w:p>
    <w:p w14:paraId="6E8197F8" w14:textId="77777777" w:rsidR="00021F2A" w:rsidRPr="00CD5B65" w:rsidRDefault="00021F2A" w:rsidP="006D3594"/>
    <w:p w14:paraId="38CE43C5" w14:textId="1B14431B" w:rsidR="00742B82" w:rsidRPr="00CD5B65" w:rsidRDefault="00AD7B65" w:rsidP="00B7121E">
      <w:pPr>
        <w:rPr>
          <w:spacing w:val="-3"/>
          <w:sz w:val="22"/>
        </w:rPr>
      </w:pPr>
      <w:r w:rsidRPr="00CD5B65">
        <w:t>Utiliser votre programme pour calculer la variance de bloc d’un bloc de taille a/2 x a</w:t>
      </w:r>
      <w:r w:rsidR="002414B5" w:rsidRPr="00CD5B65">
        <w:t xml:space="preserve"> lorsque le variogramme est sphérique et C</w:t>
      </w:r>
      <w:r w:rsidR="002414B5" w:rsidRPr="00CD5B65">
        <w:rPr>
          <w:vertAlign w:val="subscript"/>
        </w:rPr>
        <w:t>0</w:t>
      </w:r>
      <w:r w:rsidR="002414B5" w:rsidRPr="00CD5B65">
        <w:t>=2, C=10, a=50</w:t>
      </w:r>
      <w:r w:rsidRPr="00CD5B65">
        <w:t xml:space="preserve">. </w:t>
      </w:r>
      <w:r w:rsidR="002414B5" w:rsidRPr="00CD5B65">
        <w:t xml:space="preserve">Indiquez votre façon de procéder. </w:t>
      </w:r>
      <w:r w:rsidRPr="00CD5B65">
        <w:t>Comparez votre valeur avec celle de l’abaque.</w:t>
      </w:r>
    </w:p>
    <w:p w14:paraId="5C0AB2CF" w14:textId="77777777" w:rsidR="0056609C" w:rsidRPr="00CD5B65" w:rsidRDefault="0056609C" w:rsidP="006D3594">
      <w:pPr>
        <w:rPr>
          <w:spacing w:val="-3"/>
          <w:sz w:val="22"/>
        </w:rPr>
      </w:pPr>
    </w:p>
    <w:sectPr w:rsidR="0056609C" w:rsidRPr="00CD5B65">
      <w:headerReference w:type="even" r:id="rId12"/>
      <w:headerReference w:type="default" r:id="rId1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5C222" w14:textId="77777777" w:rsidR="00FA4E24" w:rsidRDefault="00FA4E24">
      <w:r>
        <w:separator/>
      </w:r>
    </w:p>
  </w:endnote>
  <w:endnote w:type="continuationSeparator" w:id="0">
    <w:p w14:paraId="6DC5222A" w14:textId="77777777" w:rsidR="00FA4E24" w:rsidRDefault="00FA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22EE1" w14:textId="77777777" w:rsidR="00FA4E24" w:rsidRDefault="00FA4E24">
      <w:r>
        <w:separator/>
      </w:r>
    </w:p>
  </w:footnote>
  <w:footnote w:type="continuationSeparator" w:id="0">
    <w:p w14:paraId="0DEF85E0" w14:textId="77777777" w:rsidR="00FA4E24" w:rsidRDefault="00FA4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944DE" w14:textId="77777777" w:rsidR="0060579F" w:rsidRDefault="0060579F" w:rsidP="00C42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D3E84B" w14:textId="77777777" w:rsidR="0060579F" w:rsidRDefault="0060579F" w:rsidP="00CC09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87833" w14:textId="77777777" w:rsidR="0060579F" w:rsidRDefault="0060579F" w:rsidP="00C42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7182">
      <w:rPr>
        <w:rStyle w:val="PageNumber"/>
        <w:noProof/>
      </w:rPr>
      <w:t>1</w:t>
    </w:r>
    <w:r>
      <w:rPr>
        <w:rStyle w:val="PageNumber"/>
      </w:rPr>
      <w:fldChar w:fldCharType="end"/>
    </w:r>
  </w:p>
  <w:p w14:paraId="69882B0B" w14:textId="77777777" w:rsidR="0060579F" w:rsidRDefault="0060579F" w:rsidP="00CC09A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E33BB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9D7578"/>
    <w:multiLevelType w:val="singleLevel"/>
    <w:tmpl w:val="AF34CE26"/>
    <w:lvl w:ilvl="0">
      <w:start w:val="1"/>
      <w:numFmt w:val="lowerLetter"/>
      <w:lvlText w:val="%1)"/>
      <w:lvlJc w:val="left"/>
      <w:pPr>
        <w:tabs>
          <w:tab w:val="num" w:pos="360"/>
        </w:tabs>
        <w:ind w:left="360" w:hanging="360"/>
      </w:pPr>
      <w:rPr>
        <w:rFonts w:hint="default"/>
      </w:rPr>
    </w:lvl>
  </w:abstractNum>
  <w:abstractNum w:abstractNumId="3" w15:restartNumberingAfterBreak="0">
    <w:nsid w:val="1B431088"/>
    <w:multiLevelType w:val="singleLevel"/>
    <w:tmpl w:val="FEA6DCA4"/>
    <w:lvl w:ilvl="0">
      <w:start w:val="1"/>
      <w:numFmt w:val="decimal"/>
      <w:lvlText w:val="%1."/>
      <w:lvlJc w:val="left"/>
      <w:pPr>
        <w:tabs>
          <w:tab w:val="num" w:pos="360"/>
        </w:tabs>
        <w:ind w:left="360" w:hanging="360"/>
      </w:pPr>
      <w:rPr>
        <w:rFonts w:hint="default"/>
      </w:rPr>
    </w:lvl>
  </w:abstractNum>
  <w:abstractNum w:abstractNumId="4" w15:restartNumberingAfterBreak="0">
    <w:nsid w:val="1E2A635B"/>
    <w:multiLevelType w:val="hybridMultilevel"/>
    <w:tmpl w:val="E6025F30"/>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33B725CB"/>
    <w:multiLevelType w:val="singleLevel"/>
    <w:tmpl w:val="1B4ED824"/>
    <w:lvl w:ilvl="0">
      <w:start w:val="2"/>
      <w:numFmt w:val="bullet"/>
      <w:lvlText w:val="-"/>
      <w:lvlJc w:val="left"/>
      <w:pPr>
        <w:tabs>
          <w:tab w:val="num" w:pos="1800"/>
        </w:tabs>
        <w:ind w:left="1800" w:hanging="360"/>
      </w:pPr>
      <w:rPr>
        <w:rFonts w:hint="default"/>
      </w:rPr>
    </w:lvl>
  </w:abstractNum>
  <w:abstractNum w:abstractNumId="6" w15:restartNumberingAfterBreak="0">
    <w:nsid w:val="354132AD"/>
    <w:multiLevelType w:val="singleLevel"/>
    <w:tmpl w:val="C874A402"/>
    <w:lvl w:ilvl="0">
      <w:start w:val="1"/>
      <w:numFmt w:val="decimal"/>
      <w:lvlText w:val="%1-"/>
      <w:lvlJc w:val="left"/>
      <w:pPr>
        <w:tabs>
          <w:tab w:val="num" w:pos="390"/>
        </w:tabs>
        <w:ind w:left="390" w:hanging="390"/>
      </w:pPr>
      <w:rPr>
        <w:rFonts w:hint="default"/>
      </w:rPr>
    </w:lvl>
  </w:abstractNum>
  <w:abstractNum w:abstractNumId="7" w15:restartNumberingAfterBreak="0">
    <w:nsid w:val="3C373C93"/>
    <w:multiLevelType w:val="hybridMultilevel"/>
    <w:tmpl w:val="6FEC1358"/>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498942D9"/>
    <w:multiLevelType w:val="hybridMultilevel"/>
    <w:tmpl w:val="680AC2D6"/>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529E4C17"/>
    <w:multiLevelType w:val="singleLevel"/>
    <w:tmpl w:val="845E8064"/>
    <w:lvl w:ilvl="0">
      <w:start w:val="3"/>
      <w:numFmt w:val="bullet"/>
      <w:lvlText w:val="-"/>
      <w:lvlJc w:val="left"/>
      <w:pPr>
        <w:tabs>
          <w:tab w:val="num" w:pos="1068"/>
        </w:tabs>
        <w:ind w:left="1068" w:hanging="360"/>
      </w:pPr>
      <w:rPr>
        <w:rFonts w:hint="default"/>
      </w:rPr>
    </w:lvl>
  </w:abstractNum>
  <w:abstractNum w:abstractNumId="10" w15:restartNumberingAfterBreak="0">
    <w:nsid w:val="53274EA0"/>
    <w:multiLevelType w:val="singleLevel"/>
    <w:tmpl w:val="2E8044EC"/>
    <w:lvl w:ilvl="0">
      <w:start w:val="2"/>
      <w:numFmt w:val="lowerLetter"/>
      <w:lvlText w:val="%1)"/>
      <w:lvlJc w:val="left"/>
      <w:pPr>
        <w:tabs>
          <w:tab w:val="num" w:pos="720"/>
        </w:tabs>
        <w:ind w:left="720" w:hanging="360"/>
      </w:pPr>
      <w:rPr>
        <w:rFonts w:hint="default"/>
      </w:rPr>
    </w:lvl>
  </w:abstractNum>
  <w:abstractNum w:abstractNumId="11" w15:restartNumberingAfterBreak="0">
    <w:nsid w:val="6DCC0645"/>
    <w:multiLevelType w:val="hybridMultilevel"/>
    <w:tmpl w:val="D2384ADA"/>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1005278917">
    <w:abstractNumId w:val="3"/>
  </w:num>
  <w:num w:numId="2" w16cid:durableId="2104186441">
    <w:abstractNumId w:val="10"/>
  </w:num>
  <w:num w:numId="3" w16cid:durableId="1693802026">
    <w:abstractNumId w:val="9"/>
  </w:num>
  <w:num w:numId="4" w16cid:durableId="1258825866">
    <w:abstractNumId w:val="2"/>
  </w:num>
  <w:num w:numId="5" w16cid:durableId="60838197">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16cid:durableId="640114511">
    <w:abstractNumId w:val="1"/>
  </w:num>
  <w:num w:numId="7" w16cid:durableId="362639324">
    <w:abstractNumId w:val="5"/>
  </w:num>
  <w:num w:numId="8" w16cid:durableId="399795880">
    <w:abstractNumId w:val="6"/>
  </w:num>
  <w:num w:numId="9" w16cid:durableId="2102987000">
    <w:abstractNumId w:val="8"/>
  </w:num>
  <w:num w:numId="10" w16cid:durableId="877738074">
    <w:abstractNumId w:val="11"/>
  </w:num>
  <w:num w:numId="11" w16cid:durableId="178587751">
    <w:abstractNumId w:val="7"/>
  </w:num>
  <w:num w:numId="12" w16cid:durableId="14815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B07"/>
    <w:rsid w:val="000014A4"/>
    <w:rsid w:val="00001A63"/>
    <w:rsid w:val="000143B9"/>
    <w:rsid w:val="000145B0"/>
    <w:rsid w:val="00021F2A"/>
    <w:rsid w:val="00076362"/>
    <w:rsid w:val="0009150E"/>
    <w:rsid w:val="000A0E67"/>
    <w:rsid w:val="000A6A52"/>
    <w:rsid w:val="0013744C"/>
    <w:rsid w:val="00191DCE"/>
    <w:rsid w:val="001E4334"/>
    <w:rsid w:val="00217846"/>
    <w:rsid w:val="002414B5"/>
    <w:rsid w:val="0025582D"/>
    <w:rsid w:val="0027185F"/>
    <w:rsid w:val="00277733"/>
    <w:rsid w:val="002D456E"/>
    <w:rsid w:val="003D1149"/>
    <w:rsid w:val="003E45CD"/>
    <w:rsid w:val="003E5B74"/>
    <w:rsid w:val="003E7BFC"/>
    <w:rsid w:val="00401A77"/>
    <w:rsid w:val="0042087C"/>
    <w:rsid w:val="00441627"/>
    <w:rsid w:val="0056609C"/>
    <w:rsid w:val="00597AA5"/>
    <w:rsid w:val="005B0E7E"/>
    <w:rsid w:val="005D4B07"/>
    <w:rsid w:val="0060579F"/>
    <w:rsid w:val="006A7467"/>
    <w:rsid w:val="006D3594"/>
    <w:rsid w:val="00742B82"/>
    <w:rsid w:val="007442D0"/>
    <w:rsid w:val="00774264"/>
    <w:rsid w:val="00777977"/>
    <w:rsid w:val="00777D9A"/>
    <w:rsid w:val="00787182"/>
    <w:rsid w:val="007F3BB8"/>
    <w:rsid w:val="008136F6"/>
    <w:rsid w:val="008D4F01"/>
    <w:rsid w:val="008E4978"/>
    <w:rsid w:val="009475C1"/>
    <w:rsid w:val="009606CE"/>
    <w:rsid w:val="00973FBC"/>
    <w:rsid w:val="00A001B4"/>
    <w:rsid w:val="00A32607"/>
    <w:rsid w:val="00A906FE"/>
    <w:rsid w:val="00A94850"/>
    <w:rsid w:val="00AB362F"/>
    <w:rsid w:val="00AD7B65"/>
    <w:rsid w:val="00B464D1"/>
    <w:rsid w:val="00B47A5F"/>
    <w:rsid w:val="00B7121E"/>
    <w:rsid w:val="00B85CDE"/>
    <w:rsid w:val="00BE4BBC"/>
    <w:rsid w:val="00C01E4B"/>
    <w:rsid w:val="00C0625E"/>
    <w:rsid w:val="00C1314E"/>
    <w:rsid w:val="00C301A0"/>
    <w:rsid w:val="00C421BD"/>
    <w:rsid w:val="00C81C20"/>
    <w:rsid w:val="00CB7D73"/>
    <w:rsid w:val="00CC09AF"/>
    <w:rsid w:val="00CC5C47"/>
    <w:rsid w:val="00CD22A6"/>
    <w:rsid w:val="00CD5B65"/>
    <w:rsid w:val="00CE6888"/>
    <w:rsid w:val="00D00D16"/>
    <w:rsid w:val="00D82AC8"/>
    <w:rsid w:val="00DA4094"/>
    <w:rsid w:val="00E02BB6"/>
    <w:rsid w:val="00E13A7E"/>
    <w:rsid w:val="00E15030"/>
    <w:rsid w:val="00E848F4"/>
    <w:rsid w:val="00E87493"/>
    <w:rsid w:val="00EB1607"/>
    <w:rsid w:val="00EC5798"/>
    <w:rsid w:val="00F254DA"/>
    <w:rsid w:val="00F553FD"/>
    <w:rsid w:val="00F83BEA"/>
    <w:rsid w:val="00F84216"/>
    <w:rsid w:val="00F97102"/>
    <w:rsid w:val="00FA24AB"/>
    <w:rsid w:val="00FA4E24"/>
    <w:rsid w:val="00FE4273"/>
    <w:rsid w:val="00FF2E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1"/>
    <o:shapelayout v:ext="edit">
      <o:idmap v:ext="edit" data="1"/>
      <o:rules v:ext="edit">
        <o:r id="V:Rule1" type="callout" idref="#_x0000_s1048"/>
        <o:r id="V:Rule2" type="callout" idref="#_x0000_s1049"/>
        <o:r id="V:Rule3" type="callout" idref="#_x0000_s1050"/>
      </o:rules>
    </o:shapelayout>
  </w:shapeDefaults>
  <w:decimalSymbol w:val="."/>
  <w:listSeparator w:val=","/>
  <w14:docId w14:val="683F707D"/>
  <w15:chartTrackingRefBased/>
  <w15:docId w15:val="{ED0458E6-69FB-4B7F-BEF8-E1292DCC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en-US"/>
    </w:rPr>
  </w:style>
  <w:style w:type="paragraph" w:styleId="Heading1">
    <w:name w:val="heading 1"/>
    <w:basedOn w:val="Normal"/>
    <w:next w:val="Normal"/>
    <w:qFormat/>
    <w:pPr>
      <w:keepNext/>
      <w:jc w:val="both"/>
      <w:outlineLvl w:val="0"/>
    </w:pPr>
    <w:rPr>
      <w:i/>
      <w:iCs/>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4"/>
    </w:rPr>
  </w:style>
  <w:style w:type="paragraph" w:styleId="BodyTextIndent2">
    <w:name w:val="Body Text Indent 2"/>
    <w:basedOn w:val="Normal"/>
    <w:pPr>
      <w:ind w:left="284" w:hanging="284"/>
    </w:pPr>
    <w:rPr>
      <w:sz w:val="24"/>
    </w:rPr>
  </w:style>
  <w:style w:type="paragraph" w:styleId="BodyTextIndent3">
    <w:name w:val="Body Text Indent 3"/>
    <w:basedOn w:val="Normal"/>
    <w:pPr>
      <w:tabs>
        <w:tab w:val="center" w:pos="4590"/>
        <w:tab w:val="right" w:pos="8910"/>
      </w:tabs>
      <w:ind w:left="1134"/>
    </w:pPr>
    <w:rPr>
      <w:sz w:val="24"/>
      <w:lang w:val="fr-CA"/>
    </w:rPr>
  </w:style>
  <w:style w:type="table" w:styleId="TableGrid">
    <w:name w:val="Table Grid"/>
    <w:basedOn w:val="TableNormal"/>
    <w:rsid w:val="003E7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09AF"/>
    <w:pPr>
      <w:tabs>
        <w:tab w:val="center" w:pos="4320"/>
        <w:tab w:val="right" w:pos="8640"/>
      </w:tabs>
    </w:pPr>
  </w:style>
  <w:style w:type="character" w:styleId="PageNumber">
    <w:name w:val="page number"/>
    <w:basedOn w:val="DefaultParagraphFont"/>
    <w:rsid w:val="00CC09AF"/>
  </w:style>
  <w:style w:type="paragraph" w:styleId="BodyText">
    <w:name w:val="Body Text"/>
    <w:basedOn w:val="Normal"/>
    <w:rsid w:val="0007636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770</Words>
  <Characters>4392</Characters>
  <Application>Microsoft Office Word</Application>
  <DocSecurity>0</DocSecurity>
  <Lines>36</Lines>
  <Paragraphs>10</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GML-6402  </vt:lpstr>
      <vt:lpstr>        GML6402  	Devoir 2 	Automne 2018</vt:lpstr>
      <vt:lpstr>GML-6402  </vt:lpstr>
    </vt:vector>
  </TitlesOfParts>
  <Company>G. Mineral</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GML-6402  </dc:title>
  <dc:subject/>
  <dc:creator>D.Marcotte</dc:creator>
  <cp:keywords/>
  <cp:lastModifiedBy>Dany Lauzon</cp:lastModifiedBy>
  <cp:revision>9</cp:revision>
  <cp:lastPrinted>2015-09-10T11:30:00Z</cp:lastPrinted>
  <dcterms:created xsi:type="dcterms:W3CDTF">2024-07-01T13:24:00Z</dcterms:created>
  <dcterms:modified xsi:type="dcterms:W3CDTF">2024-07-01T14:18:00Z</dcterms:modified>
</cp:coreProperties>
</file>