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3AE55" w14:textId="10D0DEFB" w:rsidR="003C77F7" w:rsidRDefault="003C77F7" w:rsidP="00B232E6">
      <w:pPr>
        <w:rPr>
          <w:b/>
          <w:bCs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DF62F0" w14:paraId="76041182" w14:textId="77777777" w:rsidTr="00DF62F0">
        <w:tc>
          <w:tcPr>
            <w:tcW w:w="10076" w:type="dxa"/>
          </w:tcPr>
          <w:p w14:paraId="7EFE1F4F" w14:textId="25AC4ECB" w:rsidR="00DF62F0" w:rsidRDefault="00DF62F0" w:rsidP="00DF62F0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 xml:space="preserve">Nom des membres de l’équipe : </w:t>
            </w:r>
          </w:p>
        </w:tc>
      </w:tr>
      <w:tr w:rsidR="00DF62F0" w14:paraId="1DB9FA70" w14:textId="77777777" w:rsidTr="00DF62F0">
        <w:tc>
          <w:tcPr>
            <w:tcW w:w="10076" w:type="dxa"/>
          </w:tcPr>
          <w:p w14:paraId="15209327" w14:textId="77777777" w:rsidR="00DF62F0" w:rsidRDefault="00DF62F0" w:rsidP="003C77F7">
            <w:pPr>
              <w:jc w:val="center"/>
              <w:rPr>
                <w:b/>
                <w:bCs/>
                <w:lang w:val="fr-CA"/>
              </w:rPr>
            </w:pPr>
          </w:p>
        </w:tc>
      </w:tr>
      <w:tr w:rsidR="00DF62F0" w14:paraId="03ADE60F" w14:textId="77777777" w:rsidTr="00DF62F0">
        <w:tc>
          <w:tcPr>
            <w:tcW w:w="10076" w:type="dxa"/>
          </w:tcPr>
          <w:p w14:paraId="02C9682B" w14:textId="77777777" w:rsidR="00DF62F0" w:rsidRDefault="00DF62F0" w:rsidP="003C77F7">
            <w:pPr>
              <w:jc w:val="center"/>
              <w:rPr>
                <w:b/>
                <w:bCs/>
                <w:lang w:val="fr-CA"/>
              </w:rPr>
            </w:pPr>
          </w:p>
        </w:tc>
      </w:tr>
      <w:tr w:rsidR="00BA0D41" w14:paraId="6D90D593" w14:textId="77777777" w:rsidTr="00DF62F0">
        <w:tc>
          <w:tcPr>
            <w:tcW w:w="10076" w:type="dxa"/>
          </w:tcPr>
          <w:p w14:paraId="70A7B9D3" w14:textId="77777777" w:rsidR="00BA0D41" w:rsidRDefault="00BA0D41" w:rsidP="003C77F7">
            <w:pPr>
              <w:jc w:val="center"/>
              <w:rPr>
                <w:b/>
                <w:bCs/>
                <w:lang w:val="fr-CA"/>
              </w:rPr>
            </w:pPr>
          </w:p>
        </w:tc>
      </w:tr>
      <w:tr w:rsidR="00DF62F0" w14:paraId="063B5FC7" w14:textId="77777777" w:rsidTr="00DF62F0">
        <w:tc>
          <w:tcPr>
            <w:tcW w:w="10076" w:type="dxa"/>
          </w:tcPr>
          <w:p w14:paraId="415F75EA" w14:textId="77777777" w:rsidR="00DF62F0" w:rsidRDefault="00DF62F0" w:rsidP="003C77F7">
            <w:pPr>
              <w:jc w:val="center"/>
              <w:rPr>
                <w:b/>
                <w:bCs/>
                <w:lang w:val="fr-CA"/>
              </w:rPr>
            </w:pPr>
          </w:p>
        </w:tc>
      </w:tr>
    </w:tbl>
    <w:p w14:paraId="69476CC7" w14:textId="77777777" w:rsidR="00DF62F0" w:rsidRDefault="00DF62F0" w:rsidP="003C77F7">
      <w:pPr>
        <w:jc w:val="center"/>
        <w:rPr>
          <w:b/>
          <w:bCs/>
          <w:lang w:val="fr-CA"/>
        </w:rPr>
      </w:pPr>
    </w:p>
    <w:p w14:paraId="01570EB2" w14:textId="7F208A72" w:rsidR="00C43210" w:rsidRPr="00B232E6" w:rsidRDefault="00C43210" w:rsidP="00B232E6">
      <w:pPr>
        <w:jc w:val="both"/>
        <w:rPr>
          <w:rFonts w:ascii="Times New Roman" w:hAnsi="Times New Roman" w:cs="Times New Roman"/>
          <w:b/>
          <w:bCs/>
          <w:lang w:val="fr-CA"/>
        </w:rPr>
      </w:pPr>
      <w:r w:rsidRPr="00B232E6">
        <w:rPr>
          <w:rFonts w:ascii="Times New Roman" w:hAnsi="Times New Roman" w:cs="Times New Roman"/>
          <w:b/>
          <w:bCs/>
          <w:lang w:val="fr-CA"/>
        </w:rPr>
        <w:t>Introduction</w:t>
      </w:r>
    </w:p>
    <w:p w14:paraId="79D46003" w14:textId="6E9C7D14" w:rsidR="00C43210" w:rsidRPr="00B232E6" w:rsidRDefault="00C43210" w:rsidP="00B232E6">
      <w:pPr>
        <w:jc w:val="both"/>
        <w:rPr>
          <w:rFonts w:ascii="Times New Roman" w:hAnsi="Times New Roman" w:cs="Times New Roman"/>
          <w:lang w:val="fr-CA"/>
        </w:rPr>
      </w:pPr>
      <w:r w:rsidRPr="00B232E6">
        <w:rPr>
          <w:rFonts w:ascii="Times New Roman" w:hAnsi="Times New Roman" w:cs="Times New Roman"/>
          <w:lang w:val="fr-CA"/>
        </w:rPr>
        <w:t xml:space="preserve">On entend beaucoup parler du lithium présentement en bonne partie due à l’augmentation de la production de véhicules électriques qui </w:t>
      </w:r>
      <w:r w:rsidR="00DF62F0" w:rsidRPr="00B232E6">
        <w:rPr>
          <w:rFonts w:ascii="Times New Roman" w:hAnsi="Times New Roman" w:cs="Times New Roman"/>
          <w:lang w:val="fr-CA"/>
        </w:rPr>
        <w:t>exigent</w:t>
      </w:r>
      <w:r w:rsidRPr="00B232E6">
        <w:rPr>
          <w:rFonts w:ascii="Times New Roman" w:hAnsi="Times New Roman" w:cs="Times New Roman"/>
          <w:lang w:val="fr-CA"/>
        </w:rPr>
        <w:t xml:space="preserve"> de puissantes batteries</w:t>
      </w:r>
      <w:r w:rsidR="00DF62F0" w:rsidRPr="00B232E6">
        <w:rPr>
          <w:rFonts w:ascii="Times New Roman" w:hAnsi="Times New Roman" w:cs="Times New Roman"/>
          <w:lang w:val="fr-CA"/>
        </w:rPr>
        <w:t xml:space="preserve"> au lithium. </w:t>
      </w:r>
      <w:r w:rsidRPr="00B232E6">
        <w:rPr>
          <w:rFonts w:ascii="Times New Roman" w:hAnsi="Times New Roman" w:cs="Times New Roman"/>
          <w:lang w:val="fr-CA"/>
        </w:rPr>
        <w:t xml:space="preserve">Au Québec, deux projets </w:t>
      </w:r>
      <w:r w:rsidR="00DF62F0" w:rsidRPr="00B232E6">
        <w:rPr>
          <w:rFonts w:ascii="Times New Roman" w:hAnsi="Times New Roman" w:cs="Times New Roman"/>
          <w:lang w:val="fr-CA"/>
        </w:rPr>
        <w:t xml:space="preserve">miniers de lithium </w:t>
      </w:r>
      <w:r w:rsidRPr="00B232E6">
        <w:rPr>
          <w:rFonts w:ascii="Times New Roman" w:hAnsi="Times New Roman" w:cs="Times New Roman"/>
          <w:lang w:val="fr-CA"/>
        </w:rPr>
        <w:t>existent soit</w:t>
      </w:r>
      <w:r w:rsidR="00492F4A" w:rsidRPr="00B232E6">
        <w:rPr>
          <w:rFonts w:ascii="Times New Roman" w:hAnsi="Times New Roman" w:cs="Times New Roman"/>
          <w:lang w:val="fr-CA"/>
        </w:rPr>
        <w:t xml:space="preserve"> l’ancien</w:t>
      </w:r>
      <w:r w:rsidRPr="00B232E6">
        <w:rPr>
          <w:rFonts w:ascii="Times New Roman" w:hAnsi="Times New Roman" w:cs="Times New Roman"/>
          <w:lang w:val="fr-CA"/>
        </w:rPr>
        <w:t xml:space="preserve"> </w:t>
      </w:r>
      <w:r w:rsidR="00492F4A" w:rsidRPr="00B232E6">
        <w:rPr>
          <w:rFonts w:ascii="Times New Roman" w:hAnsi="Times New Roman" w:cs="Times New Roman"/>
          <w:lang w:val="fr-CA"/>
        </w:rPr>
        <w:t xml:space="preserve">Québec lithium (puis </w:t>
      </w:r>
      <w:r w:rsidRPr="00B232E6">
        <w:rPr>
          <w:rFonts w:ascii="Times New Roman" w:hAnsi="Times New Roman" w:cs="Times New Roman"/>
          <w:lang w:val="fr-CA"/>
        </w:rPr>
        <w:t>Lithium d’Amérique du Nord</w:t>
      </w:r>
      <w:r w:rsidR="00492F4A" w:rsidRPr="00B232E6">
        <w:rPr>
          <w:rFonts w:ascii="Times New Roman" w:hAnsi="Times New Roman" w:cs="Times New Roman"/>
          <w:lang w:val="fr-CA"/>
        </w:rPr>
        <w:t>)</w:t>
      </w:r>
      <w:r w:rsidRPr="00B232E6">
        <w:rPr>
          <w:rFonts w:ascii="Times New Roman" w:hAnsi="Times New Roman" w:cs="Times New Roman"/>
          <w:lang w:val="fr-CA"/>
        </w:rPr>
        <w:t xml:space="preserve"> et Nemaska</w:t>
      </w:r>
      <w:r w:rsidR="00DF62F0" w:rsidRPr="00B232E6">
        <w:rPr>
          <w:rFonts w:ascii="Times New Roman" w:hAnsi="Times New Roman" w:cs="Times New Roman"/>
          <w:lang w:val="fr-CA"/>
        </w:rPr>
        <w:t xml:space="preserve"> Lithium</w:t>
      </w:r>
      <w:r w:rsidR="00492F4A" w:rsidRPr="00B232E6">
        <w:rPr>
          <w:rFonts w:ascii="Times New Roman" w:hAnsi="Times New Roman" w:cs="Times New Roman"/>
          <w:lang w:val="fr-CA"/>
        </w:rPr>
        <w:t xml:space="preserve"> (maintenant </w:t>
      </w:r>
      <w:proofErr w:type="spellStart"/>
      <w:r w:rsidR="00492F4A" w:rsidRPr="00B232E6">
        <w:rPr>
          <w:rFonts w:ascii="Times New Roman" w:hAnsi="Times New Roman" w:cs="Times New Roman"/>
          <w:lang w:val="fr-CA"/>
        </w:rPr>
        <w:t>Pallinghurst</w:t>
      </w:r>
      <w:proofErr w:type="spellEnd"/>
      <w:r w:rsidR="00492F4A" w:rsidRPr="00B232E6">
        <w:rPr>
          <w:rFonts w:ascii="Times New Roman" w:hAnsi="Times New Roman" w:cs="Times New Roman"/>
          <w:lang w:val="fr-CA"/>
        </w:rPr>
        <w:t>)</w:t>
      </w:r>
      <w:r w:rsidRPr="00B232E6">
        <w:rPr>
          <w:rFonts w:ascii="Times New Roman" w:hAnsi="Times New Roman" w:cs="Times New Roman"/>
          <w:lang w:val="fr-CA"/>
        </w:rPr>
        <w:t xml:space="preserve">. Le premier </w:t>
      </w:r>
      <w:r w:rsidR="00DF62F0" w:rsidRPr="00B232E6">
        <w:rPr>
          <w:rFonts w:ascii="Times New Roman" w:hAnsi="Times New Roman" w:cs="Times New Roman"/>
          <w:lang w:val="fr-CA"/>
        </w:rPr>
        <w:t xml:space="preserve">a donné lieu à une mine qui a opéré de 2012 à 2014 (Québec lithium) puis de 2016-2019 (North American Lithium). </w:t>
      </w:r>
      <w:proofErr w:type="spellStart"/>
      <w:r w:rsidR="00DF62F0" w:rsidRPr="00B232E6">
        <w:rPr>
          <w:rFonts w:ascii="Times New Roman" w:hAnsi="Times New Roman" w:cs="Times New Roman"/>
          <w:lang w:val="fr-CA"/>
        </w:rPr>
        <w:t>Sayona</w:t>
      </w:r>
      <w:proofErr w:type="spellEnd"/>
      <w:r w:rsidR="00DF62F0" w:rsidRPr="00B232E6">
        <w:rPr>
          <w:rFonts w:ascii="Times New Roman" w:hAnsi="Times New Roman" w:cs="Times New Roman"/>
          <w:lang w:val="fr-CA"/>
        </w:rPr>
        <w:t xml:space="preserve"> Mining a obtenu le contrôle </w:t>
      </w:r>
      <w:r w:rsidR="00492F4A" w:rsidRPr="00B232E6">
        <w:rPr>
          <w:rFonts w:ascii="Times New Roman" w:hAnsi="Times New Roman" w:cs="Times New Roman"/>
          <w:lang w:val="fr-CA"/>
        </w:rPr>
        <w:t>fin</w:t>
      </w:r>
      <w:r w:rsidR="00DF62F0" w:rsidRPr="00B232E6">
        <w:rPr>
          <w:rFonts w:ascii="Times New Roman" w:hAnsi="Times New Roman" w:cs="Times New Roman"/>
          <w:lang w:val="fr-CA"/>
        </w:rPr>
        <w:t xml:space="preserve"> juin 2021. On ne sait pas si la mine va redémarrer (ni quand)</w:t>
      </w:r>
      <w:r w:rsidR="00492F4A" w:rsidRPr="00B232E6">
        <w:rPr>
          <w:rFonts w:ascii="Times New Roman" w:hAnsi="Times New Roman" w:cs="Times New Roman"/>
          <w:lang w:val="fr-CA"/>
        </w:rPr>
        <w:t>, ils seraient en attente de permis</w:t>
      </w:r>
      <w:r w:rsidR="00DF62F0" w:rsidRPr="00B232E6">
        <w:rPr>
          <w:rFonts w:ascii="Times New Roman" w:hAnsi="Times New Roman" w:cs="Times New Roman"/>
          <w:lang w:val="fr-CA"/>
        </w:rPr>
        <w:t xml:space="preserve">.  Le projet Nemaska a été repris par la compagnie </w:t>
      </w:r>
      <w:proofErr w:type="spellStart"/>
      <w:r w:rsidR="00DF62F0" w:rsidRPr="00B232E6">
        <w:rPr>
          <w:rFonts w:ascii="Times New Roman" w:hAnsi="Times New Roman" w:cs="Times New Roman"/>
          <w:lang w:val="fr-CA"/>
        </w:rPr>
        <w:t>Pallinghurst</w:t>
      </w:r>
      <w:proofErr w:type="spellEnd"/>
      <w:r w:rsidR="00DF62F0" w:rsidRPr="00B232E6">
        <w:rPr>
          <w:rFonts w:ascii="Times New Roman" w:hAnsi="Times New Roman" w:cs="Times New Roman"/>
          <w:lang w:val="fr-CA"/>
        </w:rPr>
        <w:t xml:space="preserve">, mais demeure à l’état de projet et peu de nouvelles percolent (c’est le projet que le ministre </w:t>
      </w:r>
      <w:proofErr w:type="spellStart"/>
      <w:r w:rsidR="00DF62F0" w:rsidRPr="00B232E6">
        <w:rPr>
          <w:rFonts w:ascii="Times New Roman" w:hAnsi="Times New Roman" w:cs="Times New Roman"/>
          <w:lang w:val="fr-CA"/>
        </w:rPr>
        <w:t>Fitzgibbon</w:t>
      </w:r>
      <w:proofErr w:type="spellEnd"/>
      <w:r w:rsidR="00DF62F0" w:rsidRPr="00B232E6">
        <w:rPr>
          <w:rFonts w:ascii="Times New Roman" w:hAnsi="Times New Roman" w:cs="Times New Roman"/>
          <w:lang w:val="fr-CA"/>
        </w:rPr>
        <w:t xml:space="preserve"> avait qualifié de « patente à gosse »</w:t>
      </w:r>
      <w:r w:rsidR="00492F4A" w:rsidRPr="00B232E6">
        <w:rPr>
          <w:rFonts w:ascii="Times New Roman" w:hAnsi="Times New Roman" w:cs="Times New Roman"/>
          <w:lang w:val="fr-CA"/>
        </w:rPr>
        <w:t xml:space="preserve"> </w:t>
      </w:r>
      <w:r w:rsidR="00DF62F0" w:rsidRPr="00B232E6">
        <w:rPr>
          <w:rFonts w:ascii="Times New Roman" w:hAnsi="Times New Roman" w:cs="Times New Roman"/>
          <w:lang w:val="fr-CA"/>
        </w:rPr>
        <w:t>en août 2020</w:t>
      </w:r>
      <w:r w:rsidR="00492F4A" w:rsidRPr="00B232E6">
        <w:rPr>
          <w:rFonts w:ascii="Times New Roman" w:hAnsi="Times New Roman" w:cs="Times New Roman"/>
          <w:lang w:val="fr-CA"/>
        </w:rPr>
        <w:t xml:space="preserve"> (avant que </w:t>
      </w:r>
      <w:proofErr w:type="spellStart"/>
      <w:r w:rsidR="00492F4A" w:rsidRPr="00B232E6">
        <w:rPr>
          <w:rFonts w:ascii="Times New Roman" w:hAnsi="Times New Roman" w:cs="Times New Roman"/>
          <w:lang w:val="fr-CA"/>
        </w:rPr>
        <w:t>Pallinghurst</w:t>
      </w:r>
      <w:proofErr w:type="spellEnd"/>
      <w:r w:rsidR="00492F4A" w:rsidRPr="00B232E6">
        <w:rPr>
          <w:rFonts w:ascii="Times New Roman" w:hAnsi="Times New Roman" w:cs="Times New Roman"/>
          <w:lang w:val="fr-CA"/>
        </w:rPr>
        <w:t xml:space="preserve"> n’intervienne)</w:t>
      </w:r>
      <w:r w:rsidR="00DF62F0" w:rsidRPr="00B232E6">
        <w:rPr>
          <w:rFonts w:ascii="Times New Roman" w:hAnsi="Times New Roman" w:cs="Times New Roman"/>
          <w:lang w:val="fr-CA"/>
        </w:rPr>
        <w:t xml:space="preserve">. </w:t>
      </w:r>
      <w:proofErr w:type="spellStart"/>
      <w:r w:rsidR="00DF62F0" w:rsidRPr="00B232E6">
        <w:rPr>
          <w:rFonts w:ascii="Times New Roman" w:hAnsi="Times New Roman" w:cs="Times New Roman"/>
          <w:lang w:val="fr-CA"/>
        </w:rPr>
        <w:t>Pallinghurst</w:t>
      </w:r>
      <w:proofErr w:type="spellEnd"/>
      <w:r w:rsidR="00DF62F0" w:rsidRPr="00B232E6">
        <w:rPr>
          <w:rFonts w:ascii="Times New Roman" w:hAnsi="Times New Roman" w:cs="Times New Roman"/>
          <w:lang w:val="fr-CA"/>
        </w:rPr>
        <w:t xml:space="preserve"> est aussi partenaire important dans Nouveau Monde Graphite qui souhaite développer une mine de graphite dans la région de Saint-Michel des Saints</w:t>
      </w:r>
      <w:r w:rsidR="00492F4A" w:rsidRPr="00B232E6">
        <w:rPr>
          <w:rFonts w:ascii="Times New Roman" w:hAnsi="Times New Roman" w:cs="Times New Roman"/>
          <w:lang w:val="fr-CA"/>
        </w:rPr>
        <w:t xml:space="preserve"> où elle rencontre une certaine opposition des citoyens</w:t>
      </w:r>
      <w:r w:rsidR="00DF62F0" w:rsidRPr="00B232E6">
        <w:rPr>
          <w:rFonts w:ascii="Times New Roman" w:hAnsi="Times New Roman" w:cs="Times New Roman"/>
          <w:lang w:val="fr-CA"/>
        </w:rPr>
        <w:t xml:space="preserve">. À noter qu’aucun autre investisseur que </w:t>
      </w:r>
      <w:proofErr w:type="spellStart"/>
      <w:r w:rsidR="00DF62F0" w:rsidRPr="00B232E6">
        <w:rPr>
          <w:rFonts w:ascii="Times New Roman" w:hAnsi="Times New Roman" w:cs="Times New Roman"/>
          <w:lang w:val="fr-CA"/>
        </w:rPr>
        <w:t>Pallinghurst</w:t>
      </w:r>
      <w:proofErr w:type="spellEnd"/>
      <w:r w:rsidR="00DF62F0" w:rsidRPr="00B232E6">
        <w:rPr>
          <w:rFonts w:ascii="Times New Roman" w:hAnsi="Times New Roman" w:cs="Times New Roman"/>
          <w:lang w:val="fr-CA"/>
        </w:rPr>
        <w:t xml:space="preserve"> ne s’est montré intéressé aux actifs de Nemaska en dépit de nombreux efforts gouvernementaux pour en dénicher</w:t>
      </w:r>
      <w:r w:rsidR="00492F4A" w:rsidRPr="00B232E6">
        <w:rPr>
          <w:rFonts w:ascii="Times New Roman" w:hAnsi="Times New Roman" w:cs="Times New Roman"/>
          <w:lang w:val="fr-CA"/>
        </w:rPr>
        <w:t xml:space="preserve"> de plus expérimentés</w:t>
      </w:r>
      <w:r w:rsidR="00DF62F0" w:rsidRPr="00B232E6">
        <w:rPr>
          <w:rFonts w:ascii="Times New Roman" w:hAnsi="Times New Roman" w:cs="Times New Roman"/>
          <w:lang w:val="fr-CA"/>
        </w:rPr>
        <w:t>.</w:t>
      </w:r>
    </w:p>
    <w:p w14:paraId="57A59E3F" w14:textId="34C32748" w:rsidR="00CD3C8B" w:rsidRPr="00B232E6" w:rsidRDefault="00DF62F0" w:rsidP="00B232E6">
      <w:pPr>
        <w:jc w:val="both"/>
        <w:rPr>
          <w:rFonts w:ascii="Times New Roman" w:hAnsi="Times New Roman" w:cs="Times New Roman"/>
          <w:lang w:val="fr-CA"/>
        </w:rPr>
      </w:pPr>
      <w:r w:rsidRPr="00B232E6">
        <w:rPr>
          <w:rFonts w:ascii="Times New Roman" w:hAnsi="Times New Roman" w:cs="Times New Roman"/>
          <w:lang w:val="fr-CA"/>
        </w:rPr>
        <w:t>1</w:t>
      </w:r>
      <w:r w:rsidR="00CD3C8B" w:rsidRPr="00B232E6">
        <w:rPr>
          <w:rFonts w:ascii="Times New Roman" w:hAnsi="Times New Roman" w:cs="Times New Roman"/>
          <w:lang w:val="fr-CA"/>
        </w:rPr>
        <w:t xml:space="preserve">- </w:t>
      </w:r>
      <w:r w:rsidR="008E6640" w:rsidRPr="008E6640">
        <w:rPr>
          <w:rFonts w:ascii="Times New Roman" w:hAnsi="Times New Roman" w:cs="Times New Roman"/>
          <w:b/>
          <w:bCs/>
          <w:i/>
          <w:iCs/>
          <w:lang w:val="fr-CA"/>
        </w:rPr>
        <w:t>(2pts)</w:t>
      </w:r>
      <w:r w:rsidR="008E6640">
        <w:rPr>
          <w:rFonts w:ascii="Times New Roman" w:hAnsi="Times New Roman" w:cs="Times New Roman"/>
          <w:lang w:val="fr-CA"/>
        </w:rPr>
        <w:t xml:space="preserve"> </w:t>
      </w:r>
      <w:r w:rsidR="00CD3C8B" w:rsidRPr="00B232E6">
        <w:rPr>
          <w:rFonts w:ascii="Times New Roman" w:hAnsi="Times New Roman" w:cs="Times New Roman"/>
          <w:lang w:val="fr-CA"/>
        </w:rPr>
        <w:t xml:space="preserve">Identifier les </w:t>
      </w:r>
      <w:r w:rsidR="003C77F7" w:rsidRPr="00B232E6">
        <w:rPr>
          <w:rFonts w:ascii="Times New Roman" w:hAnsi="Times New Roman" w:cs="Times New Roman"/>
          <w:lang w:val="fr-CA"/>
        </w:rPr>
        <w:t xml:space="preserve">cinq </w:t>
      </w:r>
      <w:r w:rsidR="00CD3C8B" w:rsidRPr="00B232E6">
        <w:rPr>
          <w:rFonts w:ascii="Times New Roman" w:hAnsi="Times New Roman" w:cs="Times New Roman"/>
          <w:lang w:val="fr-CA"/>
        </w:rPr>
        <w:t>principaux pays producteurs mondiaux de lithium (site USGS)</w:t>
      </w:r>
    </w:p>
    <w:p w14:paraId="79867CE9" w14:textId="004D87DE" w:rsidR="00CD3C8B" w:rsidRPr="00B232E6" w:rsidRDefault="00CD3C8B" w:rsidP="00B232E6">
      <w:pPr>
        <w:jc w:val="both"/>
        <w:rPr>
          <w:rFonts w:ascii="Times New Roman" w:hAnsi="Times New Roman" w:cs="Times New Roman"/>
          <w:lang w:val="fr-CA"/>
        </w:rPr>
      </w:pPr>
    </w:p>
    <w:p w14:paraId="3961FAA8" w14:textId="7ED9E2E9" w:rsidR="00DF62F0" w:rsidRPr="00B232E6" w:rsidRDefault="00DF62F0" w:rsidP="00B232E6">
      <w:pPr>
        <w:jc w:val="both"/>
        <w:rPr>
          <w:rFonts w:ascii="Times New Roman" w:hAnsi="Times New Roman" w:cs="Times New Roman"/>
          <w:lang w:val="fr-CA"/>
        </w:rPr>
      </w:pPr>
    </w:p>
    <w:p w14:paraId="07E2F1BE" w14:textId="2860CB7C" w:rsidR="00DF62F0" w:rsidRPr="00B232E6" w:rsidRDefault="00DF62F0" w:rsidP="00B232E6">
      <w:pPr>
        <w:jc w:val="both"/>
        <w:rPr>
          <w:rFonts w:ascii="Times New Roman" w:hAnsi="Times New Roman" w:cs="Times New Roman"/>
          <w:lang w:val="fr-CA"/>
        </w:rPr>
      </w:pPr>
    </w:p>
    <w:p w14:paraId="246B1623" w14:textId="1EF6E4BC" w:rsidR="00DF62F0" w:rsidRPr="00B232E6" w:rsidRDefault="00DF62F0" w:rsidP="00B232E6">
      <w:pPr>
        <w:jc w:val="both"/>
        <w:rPr>
          <w:rFonts w:ascii="Times New Roman" w:hAnsi="Times New Roman" w:cs="Times New Roman"/>
          <w:lang w:val="fr-CA"/>
        </w:rPr>
      </w:pPr>
      <w:r w:rsidRPr="00B232E6">
        <w:rPr>
          <w:rFonts w:ascii="Times New Roman" w:hAnsi="Times New Roman" w:cs="Times New Roman"/>
          <w:lang w:val="fr-CA"/>
        </w:rPr>
        <w:t xml:space="preserve">2- </w:t>
      </w:r>
      <w:r w:rsidR="008E6640" w:rsidRPr="008E6640">
        <w:rPr>
          <w:rFonts w:ascii="Times New Roman" w:hAnsi="Times New Roman" w:cs="Times New Roman"/>
          <w:b/>
          <w:bCs/>
          <w:i/>
          <w:iCs/>
          <w:lang w:val="fr-CA"/>
        </w:rPr>
        <w:t>(2pts)</w:t>
      </w:r>
      <w:r w:rsidR="008E6640">
        <w:rPr>
          <w:rFonts w:ascii="Times New Roman" w:hAnsi="Times New Roman" w:cs="Times New Roman"/>
          <w:lang w:val="fr-CA"/>
        </w:rPr>
        <w:t xml:space="preserve"> </w:t>
      </w:r>
      <w:r w:rsidRPr="00B232E6">
        <w:rPr>
          <w:rFonts w:ascii="Times New Roman" w:hAnsi="Times New Roman" w:cs="Times New Roman"/>
          <w:lang w:val="fr-CA"/>
        </w:rPr>
        <w:t xml:space="preserve">Décrire brièvement les </w:t>
      </w:r>
      <w:r w:rsidR="00492F4A" w:rsidRPr="00B232E6">
        <w:rPr>
          <w:rFonts w:ascii="Times New Roman" w:hAnsi="Times New Roman" w:cs="Times New Roman"/>
          <w:lang w:val="fr-CA"/>
        </w:rPr>
        <w:t xml:space="preserve">caractéristiques des </w:t>
      </w:r>
      <w:r w:rsidRPr="00B232E6">
        <w:rPr>
          <w:rFonts w:ascii="Times New Roman" w:hAnsi="Times New Roman" w:cs="Times New Roman"/>
          <w:lang w:val="fr-CA"/>
        </w:rPr>
        <w:t xml:space="preserve">deux principaux types de gisement de lithium </w:t>
      </w:r>
      <w:r w:rsidR="00492F4A" w:rsidRPr="00B232E6">
        <w:rPr>
          <w:rFonts w:ascii="Times New Roman" w:hAnsi="Times New Roman" w:cs="Times New Roman"/>
          <w:lang w:val="fr-CA"/>
        </w:rPr>
        <w:t xml:space="preserve">rencontrés </w:t>
      </w:r>
      <w:r w:rsidRPr="00B232E6">
        <w:rPr>
          <w:rFonts w:ascii="Times New Roman" w:hAnsi="Times New Roman" w:cs="Times New Roman"/>
          <w:lang w:val="fr-CA"/>
        </w:rPr>
        <w:t>dans le monde</w:t>
      </w:r>
      <w:r w:rsidR="00492F4A" w:rsidRPr="00B232E6">
        <w:rPr>
          <w:rFonts w:ascii="Times New Roman" w:hAnsi="Times New Roman" w:cs="Times New Roman"/>
          <w:lang w:val="fr-CA"/>
        </w:rPr>
        <w:t xml:space="preserve">. </w:t>
      </w:r>
      <w:r w:rsidR="008907B9">
        <w:rPr>
          <w:rFonts w:ascii="Times New Roman" w:hAnsi="Times New Roman" w:cs="Times New Roman"/>
          <w:lang w:val="fr-CA"/>
        </w:rPr>
        <w:t>(Max. une demi-page)</w:t>
      </w:r>
    </w:p>
    <w:p w14:paraId="41CFF093" w14:textId="614D0939" w:rsidR="00DF62F0" w:rsidRPr="00B232E6" w:rsidRDefault="00DF62F0" w:rsidP="00B232E6">
      <w:pPr>
        <w:jc w:val="both"/>
        <w:rPr>
          <w:rFonts w:ascii="Times New Roman" w:hAnsi="Times New Roman" w:cs="Times New Roman"/>
          <w:lang w:val="fr-CA"/>
        </w:rPr>
      </w:pPr>
    </w:p>
    <w:p w14:paraId="6367B708" w14:textId="1CE59A41" w:rsidR="00DF62F0" w:rsidRPr="00B232E6" w:rsidRDefault="00DF62F0" w:rsidP="00B232E6">
      <w:pPr>
        <w:jc w:val="both"/>
        <w:rPr>
          <w:rFonts w:ascii="Times New Roman" w:hAnsi="Times New Roman" w:cs="Times New Roman"/>
          <w:lang w:val="fr-CA"/>
        </w:rPr>
      </w:pPr>
    </w:p>
    <w:p w14:paraId="2F5B7C1E" w14:textId="63B54FD5" w:rsidR="00DF62F0" w:rsidRPr="00B232E6" w:rsidRDefault="00DF62F0" w:rsidP="00B232E6">
      <w:pPr>
        <w:jc w:val="both"/>
        <w:rPr>
          <w:rFonts w:ascii="Times New Roman" w:hAnsi="Times New Roman" w:cs="Times New Roman"/>
          <w:lang w:val="fr-CA"/>
        </w:rPr>
      </w:pPr>
    </w:p>
    <w:p w14:paraId="4B0772B8" w14:textId="77C8E00C" w:rsidR="00DF62F0" w:rsidRPr="00B232E6" w:rsidRDefault="00DF62F0" w:rsidP="00B232E6">
      <w:pPr>
        <w:jc w:val="both"/>
        <w:rPr>
          <w:rFonts w:ascii="Times New Roman" w:hAnsi="Times New Roman" w:cs="Times New Roman"/>
          <w:lang w:val="fr-CA"/>
        </w:rPr>
      </w:pPr>
    </w:p>
    <w:p w14:paraId="7A990060" w14:textId="3B3EA394" w:rsidR="00221C7F" w:rsidRPr="00B232E6" w:rsidRDefault="00DF62F0" w:rsidP="00B232E6">
      <w:pPr>
        <w:jc w:val="both"/>
        <w:rPr>
          <w:rFonts w:ascii="Times New Roman" w:hAnsi="Times New Roman" w:cs="Times New Roman"/>
          <w:lang w:val="fr-CA"/>
        </w:rPr>
      </w:pPr>
      <w:r w:rsidRPr="00B232E6">
        <w:rPr>
          <w:rFonts w:ascii="Times New Roman" w:hAnsi="Times New Roman" w:cs="Times New Roman"/>
          <w:lang w:val="fr-CA"/>
        </w:rPr>
        <w:t xml:space="preserve">3- </w:t>
      </w:r>
      <w:r w:rsidR="008E6640" w:rsidRPr="008E6640">
        <w:rPr>
          <w:rFonts w:ascii="Times New Roman" w:hAnsi="Times New Roman" w:cs="Times New Roman"/>
          <w:b/>
          <w:bCs/>
          <w:i/>
          <w:iCs/>
          <w:lang w:val="fr-CA"/>
        </w:rPr>
        <w:t>(2pts)</w:t>
      </w:r>
      <w:r w:rsidR="008E6640">
        <w:rPr>
          <w:rFonts w:ascii="Times New Roman" w:hAnsi="Times New Roman" w:cs="Times New Roman"/>
          <w:lang w:val="fr-CA"/>
        </w:rPr>
        <w:t xml:space="preserve"> </w:t>
      </w:r>
      <w:r w:rsidRPr="00B232E6">
        <w:rPr>
          <w:rFonts w:ascii="Times New Roman" w:hAnsi="Times New Roman" w:cs="Times New Roman"/>
          <w:lang w:val="fr-CA"/>
        </w:rPr>
        <w:t>Les gisements québécois sont d</w:t>
      </w:r>
      <w:r w:rsidR="00221C7F" w:rsidRPr="00B232E6">
        <w:rPr>
          <w:rFonts w:ascii="Times New Roman" w:hAnsi="Times New Roman" w:cs="Times New Roman"/>
          <w:lang w:val="fr-CA"/>
        </w:rPr>
        <w:t>’</w:t>
      </w:r>
      <w:r w:rsidRPr="00B232E6">
        <w:rPr>
          <w:rFonts w:ascii="Times New Roman" w:hAnsi="Times New Roman" w:cs="Times New Roman"/>
          <w:lang w:val="fr-CA"/>
        </w:rPr>
        <w:t>u</w:t>
      </w:r>
      <w:r w:rsidR="00221C7F" w:rsidRPr="00B232E6">
        <w:rPr>
          <w:rFonts w:ascii="Times New Roman" w:hAnsi="Times New Roman" w:cs="Times New Roman"/>
          <w:lang w:val="fr-CA"/>
        </w:rPr>
        <w:t>n</w:t>
      </w:r>
      <w:r w:rsidRPr="00B232E6">
        <w:rPr>
          <w:rFonts w:ascii="Times New Roman" w:hAnsi="Times New Roman" w:cs="Times New Roman"/>
          <w:lang w:val="fr-CA"/>
        </w:rPr>
        <w:t xml:space="preserve"> type </w:t>
      </w:r>
      <w:r w:rsidR="00221C7F" w:rsidRPr="00B232E6">
        <w:rPr>
          <w:rFonts w:ascii="Times New Roman" w:hAnsi="Times New Roman" w:cs="Times New Roman"/>
          <w:lang w:val="fr-CA"/>
        </w:rPr>
        <w:t>semblable aux</w:t>
      </w:r>
      <w:r w:rsidRPr="00B232E6">
        <w:rPr>
          <w:rFonts w:ascii="Times New Roman" w:hAnsi="Times New Roman" w:cs="Times New Roman"/>
          <w:lang w:val="fr-CA"/>
        </w:rPr>
        <w:t xml:space="preserve"> gisements Australiens (i.e. lithium surtout présent dans le spodumène que l’on retrouve dans des pegmatites</w:t>
      </w:r>
      <w:r w:rsidR="00492F4A" w:rsidRPr="00B232E6">
        <w:rPr>
          <w:rFonts w:ascii="Times New Roman" w:hAnsi="Times New Roman" w:cs="Times New Roman"/>
          <w:lang w:val="fr-CA"/>
        </w:rPr>
        <w:t>)</w:t>
      </w:r>
      <w:r w:rsidRPr="00B232E6">
        <w:rPr>
          <w:rFonts w:ascii="Times New Roman" w:hAnsi="Times New Roman" w:cs="Times New Roman"/>
          <w:lang w:val="fr-CA"/>
        </w:rPr>
        <w:t xml:space="preserve">. </w:t>
      </w:r>
      <w:r w:rsidR="007601FD" w:rsidRPr="00B232E6">
        <w:rPr>
          <w:rFonts w:ascii="Times New Roman" w:hAnsi="Times New Roman" w:cs="Times New Roman"/>
          <w:lang w:val="fr-CA"/>
        </w:rPr>
        <w:t xml:space="preserve">Les plus grands gisements australiens sont </w:t>
      </w:r>
      <w:proofErr w:type="spellStart"/>
      <w:r w:rsidR="007601FD" w:rsidRPr="00B232E6">
        <w:rPr>
          <w:rFonts w:ascii="Times New Roman" w:hAnsi="Times New Roman" w:cs="Times New Roman"/>
          <w:lang w:val="fr-CA"/>
        </w:rPr>
        <w:t>Greenbushes</w:t>
      </w:r>
      <w:proofErr w:type="spellEnd"/>
      <w:r w:rsidR="007601FD" w:rsidRPr="00B232E6">
        <w:rPr>
          <w:rFonts w:ascii="Times New Roman" w:hAnsi="Times New Roman" w:cs="Times New Roman"/>
          <w:lang w:val="fr-CA"/>
        </w:rPr>
        <w:t xml:space="preserve"> </w:t>
      </w:r>
      <w:proofErr w:type="spellStart"/>
      <w:r w:rsidR="007601FD" w:rsidRPr="00B232E6">
        <w:rPr>
          <w:rFonts w:ascii="Times New Roman" w:hAnsi="Times New Roman" w:cs="Times New Roman"/>
          <w:lang w:val="fr-CA"/>
        </w:rPr>
        <w:t>Pilpagangoora</w:t>
      </w:r>
      <w:proofErr w:type="spellEnd"/>
      <w:r w:rsidR="007601FD" w:rsidRPr="00B232E6">
        <w:rPr>
          <w:rFonts w:ascii="Times New Roman" w:hAnsi="Times New Roman" w:cs="Times New Roman"/>
          <w:lang w:val="fr-CA"/>
        </w:rPr>
        <w:t xml:space="preserve">, Earl Grey et </w:t>
      </w:r>
      <w:proofErr w:type="spellStart"/>
      <w:proofErr w:type="gramStart"/>
      <w:r w:rsidR="007601FD" w:rsidRPr="00B232E6">
        <w:rPr>
          <w:rFonts w:ascii="Times New Roman" w:hAnsi="Times New Roman" w:cs="Times New Roman"/>
          <w:lang w:val="fr-CA"/>
        </w:rPr>
        <w:t>Wodgina</w:t>
      </w:r>
      <w:proofErr w:type="spellEnd"/>
      <w:r w:rsidR="007601FD" w:rsidRPr="00B232E6">
        <w:rPr>
          <w:rFonts w:ascii="Times New Roman" w:hAnsi="Times New Roman" w:cs="Times New Roman"/>
          <w:lang w:val="fr-CA"/>
        </w:rPr>
        <w:t xml:space="preserve"> .</w:t>
      </w:r>
      <w:proofErr w:type="gramEnd"/>
      <w:r w:rsidR="007601FD" w:rsidRPr="00B232E6">
        <w:rPr>
          <w:rFonts w:ascii="Times New Roman" w:hAnsi="Times New Roman" w:cs="Times New Roman"/>
          <w:lang w:val="fr-CA"/>
        </w:rPr>
        <w:t xml:space="preserve"> </w:t>
      </w:r>
      <w:r w:rsidR="00221C7F" w:rsidRPr="00B232E6">
        <w:rPr>
          <w:rFonts w:ascii="Times New Roman" w:hAnsi="Times New Roman" w:cs="Times New Roman"/>
          <w:lang w:val="fr-CA"/>
        </w:rPr>
        <w:t xml:space="preserve">Le tableau 1 montre </w:t>
      </w:r>
      <w:r w:rsidRPr="00B232E6">
        <w:rPr>
          <w:rFonts w:ascii="Times New Roman" w:hAnsi="Times New Roman" w:cs="Times New Roman"/>
          <w:lang w:val="fr-CA"/>
        </w:rPr>
        <w:t>les ressources mesurées ou indiquées, les teneurs</w:t>
      </w:r>
      <w:r w:rsidR="00221C7F" w:rsidRPr="00B232E6">
        <w:rPr>
          <w:rFonts w:ascii="Times New Roman" w:hAnsi="Times New Roman" w:cs="Times New Roman"/>
          <w:lang w:val="fr-CA"/>
        </w:rPr>
        <w:t xml:space="preserve"> du minerai à la teneur de coupure utilisée. </w:t>
      </w:r>
    </w:p>
    <w:p w14:paraId="0BBCCE5E" w14:textId="64F27599" w:rsidR="00492F4A" w:rsidRPr="00B232E6" w:rsidRDefault="00221C7F" w:rsidP="00B232E6">
      <w:pPr>
        <w:jc w:val="both"/>
        <w:rPr>
          <w:rFonts w:ascii="Times New Roman" w:hAnsi="Times New Roman" w:cs="Times New Roman"/>
          <w:lang w:val="fr-CA"/>
        </w:rPr>
      </w:pPr>
      <w:r w:rsidRPr="00B232E6">
        <w:rPr>
          <w:rFonts w:ascii="Times New Roman" w:hAnsi="Times New Roman" w:cs="Times New Roman"/>
          <w:lang w:val="fr-CA"/>
        </w:rPr>
        <w:t>C</w:t>
      </w:r>
      <w:r w:rsidR="00DF62F0" w:rsidRPr="00B232E6">
        <w:rPr>
          <w:rFonts w:ascii="Times New Roman" w:hAnsi="Times New Roman" w:cs="Times New Roman"/>
          <w:lang w:val="fr-CA"/>
        </w:rPr>
        <w:t xml:space="preserve">omparer </w:t>
      </w:r>
      <w:r w:rsidRPr="00B232E6">
        <w:rPr>
          <w:rFonts w:ascii="Times New Roman" w:hAnsi="Times New Roman" w:cs="Times New Roman"/>
          <w:lang w:val="fr-CA"/>
        </w:rPr>
        <w:t>les données des gisements australiens à celles des projets québécois</w:t>
      </w:r>
      <w:r w:rsidR="00492F4A" w:rsidRPr="00B232E6">
        <w:rPr>
          <w:rFonts w:ascii="Times New Roman" w:hAnsi="Times New Roman" w:cs="Times New Roman"/>
          <w:lang w:val="fr-CA"/>
        </w:rPr>
        <w:t xml:space="preserve"> Authier (</w:t>
      </w:r>
      <w:proofErr w:type="spellStart"/>
      <w:r w:rsidR="00492F4A" w:rsidRPr="00B232E6">
        <w:rPr>
          <w:rFonts w:ascii="Times New Roman" w:hAnsi="Times New Roman" w:cs="Times New Roman"/>
          <w:lang w:val="fr-CA"/>
        </w:rPr>
        <w:t>Sayona</w:t>
      </w:r>
      <w:proofErr w:type="spellEnd"/>
      <w:r w:rsidR="00492F4A" w:rsidRPr="00B232E6">
        <w:rPr>
          <w:rFonts w:ascii="Times New Roman" w:hAnsi="Times New Roman" w:cs="Times New Roman"/>
          <w:lang w:val="fr-CA"/>
        </w:rPr>
        <w:t xml:space="preserve">) </w:t>
      </w:r>
      <w:r w:rsidR="00DF62F0" w:rsidRPr="00B232E6">
        <w:rPr>
          <w:rFonts w:ascii="Times New Roman" w:hAnsi="Times New Roman" w:cs="Times New Roman"/>
          <w:lang w:val="fr-CA"/>
        </w:rPr>
        <w:t xml:space="preserve">et Nemaska </w:t>
      </w:r>
      <w:r w:rsidR="00492F4A" w:rsidRPr="00B232E6">
        <w:rPr>
          <w:rFonts w:ascii="Times New Roman" w:hAnsi="Times New Roman" w:cs="Times New Roman"/>
          <w:lang w:val="fr-CA"/>
        </w:rPr>
        <w:t>(</w:t>
      </w:r>
      <w:proofErr w:type="spellStart"/>
      <w:r w:rsidR="00492F4A" w:rsidRPr="00B232E6">
        <w:rPr>
          <w:rFonts w:ascii="Times New Roman" w:hAnsi="Times New Roman" w:cs="Times New Roman"/>
          <w:lang w:val="fr-CA"/>
        </w:rPr>
        <w:t>Pallinghurst</w:t>
      </w:r>
      <w:proofErr w:type="spellEnd"/>
      <w:r w:rsidR="00492F4A" w:rsidRPr="00B232E6">
        <w:rPr>
          <w:rFonts w:ascii="Times New Roman" w:hAnsi="Times New Roman" w:cs="Times New Roman"/>
          <w:lang w:val="fr-CA"/>
        </w:rPr>
        <w:t>).</w:t>
      </w:r>
      <w:r w:rsidR="007601FD" w:rsidRPr="00B232E6">
        <w:rPr>
          <w:rFonts w:ascii="Times New Roman" w:hAnsi="Times New Roman" w:cs="Times New Roman"/>
          <w:lang w:val="fr-CA"/>
        </w:rPr>
        <w:t xml:space="preserve"> </w:t>
      </w:r>
    </w:p>
    <w:p w14:paraId="102A5DCA" w14:textId="4B1EAC2E" w:rsidR="00492F4A" w:rsidRPr="00B232E6" w:rsidRDefault="00492F4A" w:rsidP="00B232E6">
      <w:pPr>
        <w:jc w:val="both"/>
        <w:rPr>
          <w:rFonts w:ascii="Times New Roman" w:hAnsi="Times New Roman" w:cs="Times New Roman"/>
          <w:lang w:val="fr-CA"/>
        </w:rPr>
      </w:pPr>
      <w:r w:rsidRPr="00B232E6">
        <w:rPr>
          <w:rFonts w:ascii="Times New Roman" w:hAnsi="Times New Roman" w:cs="Times New Roman"/>
          <w:lang w:val="fr-CA"/>
        </w:rPr>
        <w:t>Que notez-vous ?</w:t>
      </w:r>
      <w:r w:rsidR="00221C7F" w:rsidRPr="00B232E6">
        <w:rPr>
          <w:rFonts w:ascii="Times New Roman" w:hAnsi="Times New Roman" w:cs="Times New Roman"/>
          <w:lang w:val="fr-CA"/>
        </w:rPr>
        <w:t xml:space="preserve"> Quelle est l’implication advenant une baisse du prix du lithium ? </w:t>
      </w:r>
      <w:r w:rsidR="00DF62F0" w:rsidRPr="00B232E6">
        <w:rPr>
          <w:rFonts w:ascii="Times New Roman" w:hAnsi="Times New Roman" w:cs="Times New Roman"/>
          <w:lang w:val="fr-CA"/>
        </w:rPr>
        <w:t xml:space="preserve"> </w:t>
      </w:r>
      <w:r w:rsidR="008907B9">
        <w:rPr>
          <w:rFonts w:ascii="Times New Roman" w:hAnsi="Times New Roman" w:cs="Times New Roman"/>
          <w:lang w:val="fr-CA"/>
        </w:rPr>
        <w:t>(Max. une demi-page)</w:t>
      </w:r>
    </w:p>
    <w:p w14:paraId="76815EE5" w14:textId="77777777" w:rsidR="00492F4A" w:rsidRPr="00B232E6" w:rsidRDefault="00492F4A" w:rsidP="00B232E6">
      <w:pPr>
        <w:jc w:val="both"/>
        <w:rPr>
          <w:rFonts w:ascii="Times New Roman" w:hAnsi="Times New Roman" w:cs="Times New Roman"/>
          <w:lang w:val="fr-CA"/>
        </w:rPr>
      </w:pPr>
      <w:r w:rsidRPr="00B232E6">
        <w:rPr>
          <w:rFonts w:ascii="Times New Roman" w:hAnsi="Times New Roman" w:cs="Times New Roman"/>
          <w:lang w:val="fr-CA"/>
        </w:rPr>
        <w:br w:type="page"/>
      </w:r>
    </w:p>
    <w:p w14:paraId="4FAF5135" w14:textId="2EC7E0A5" w:rsidR="00DF62F0" w:rsidRPr="00B232E6" w:rsidRDefault="00221C7F" w:rsidP="00B232E6">
      <w:pPr>
        <w:jc w:val="both"/>
        <w:rPr>
          <w:rFonts w:ascii="Times New Roman" w:hAnsi="Times New Roman" w:cs="Times New Roman"/>
          <w:lang w:val="fr-CA"/>
        </w:rPr>
      </w:pPr>
      <w:r w:rsidRPr="00B232E6">
        <w:rPr>
          <w:rFonts w:ascii="Times New Roman" w:hAnsi="Times New Roman" w:cs="Times New Roman"/>
          <w:lang w:val="fr-CA"/>
        </w:rPr>
        <w:lastRenderedPageBreak/>
        <w:t>Tableau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7"/>
        <w:gridCol w:w="2063"/>
        <w:gridCol w:w="2063"/>
        <w:gridCol w:w="1328"/>
      </w:tblGrid>
      <w:tr w:rsidR="00DF62F0" w:rsidRPr="00B232E6" w14:paraId="21237486" w14:textId="13F2DEB0" w:rsidTr="00492F4A">
        <w:trPr>
          <w:jc w:val="center"/>
        </w:trPr>
        <w:tc>
          <w:tcPr>
            <w:tcW w:w="1494" w:type="dxa"/>
          </w:tcPr>
          <w:p w14:paraId="0A08D4C5" w14:textId="463B6E68" w:rsidR="00DF62F0" w:rsidRPr="00B232E6" w:rsidRDefault="00DF62F0" w:rsidP="00B232E6">
            <w:pPr>
              <w:jc w:val="both"/>
              <w:rPr>
                <w:rFonts w:ascii="Times New Roman" w:hAnsi="Times New Roman" w:cs="Times New Roman"/>
                <w:lang w:val="fr-CA"/>
              </w:rPr>
            </w:pPr>
            <w:r w:rsidRPr="00B232E6">
              <w:rPr>
                <w:rFonts w:ascii="Times New Roman" w:hAnsi="Times New Roman" w:cs="Times New Roman"/>
                <w:lang w:val="fr-CA"/>
              </w:rPr>
              <w:t>Nom du gisement</w:t>
            </w:r>
          </w:p>
        </w:tc>
        <w:tc>
          <w:tcPr>
            <w:tcW w:w="2063" w:type="dxa"/>
          </w:tcPr>
          <w:p w14:paraId="0FD72F69" w14:textId="19793C45" w:rsidR="00DF62F0" w:rsidRPr="00B232E6" w:rsidRDefault="00DF62F0" w:rsidP="00B232E6">
            <w:pPr>
              <w:jc w:val="both"/>
              <w:rPr>
                <w:rFonts w:ascii="Times New Roman" w:hAnsi="Times New Roman" w:cs="Times New Roman"/>
                <w:lang w:val="fr-CA"/>
              </w:rPr>
            </w:pPr>
            <w:r w:rsidRPr="00B232E6">
              <w:rPr>
                <w:rFonts w:ascii="Times New Roman" w:hAnsi="Times New Roman" w:cs="Times New Roman"/>
                <w:lang w:val="fr-CA"/>
              </w:rPr>
              <w:t xml:space="preserve">Tonnage de ressources </w:t>
            </w:r>
            <w:proofErr w:type="spellStart"/>
            <w:r w:rsidRPr="00B232E6">
              <w:rPr>
                <w:rFonts w:ascii="Times New Roman" w:hAnsi="Times New Roman" w:cs="Times New Roman"/>
                <w:lang w:val="fr-CA"/>
              </w:rPr>
              <w:t>mesurées+indiquées</w:t>
            </w:r>
            <w:proofErr w:type="spellEnd"/>
          </w:p>
        </w:tc>
        <w:tc>
          <w:tcPr>
            <w:tcW w:w="2063" w:type="dxa"/>
          </w:tcPr>
          <w:p w14:paraId="4D427834" w14:textId="28555FA8" w:rsidR="00DF62F0" w:rsidRPr="00B232E6" w:rsidRDefault="00DF62F0" w:rsidP="00B232E6">
            <w:pPr>
              <w:jc w:val="both"/>
              <w:rPr>
                <w:rFonts w:ascii="Times New Roman" w:hAnsi="Times New Roman" w:cs="Times New Roman"/>
                <w:lang w:val="fr-CA"/>
              </w:rPr>
            </w:pPr>
            <w:r w:rsidRPr="00B232E6">
              <w:rPr>
                <w:rFonts w:ascii="Times New Roman" w:hAnsi="Times New Roman" w:cs="Times New Roman"/>
                <w:lang w:val="fr-CA"/>
              </w:rPr>
              <w:t xml:space="preserve">Teneur des ressources </w:t>
            </w:r>
            <w:proofErr w:type="spellStart"/>
            <w:r w:rsidRPr="00B232E6">
              <w:rPr>
                <w:rFonts w:ascii="Times New Roman" w:hAnsi="Times New Roman" w:cs="Times New Roman"/>
                <w:lang w:val="fr-CA"/>
              </w:rPr>
              <w:t>mesurées+indiquées</w:t>
            </w:r>
            <w:proofErr w:type="spellEnd"/>
          </w:p>
        </w:tc>
        <w:tc>
          <w:tcPr>
            <w:tcW w:w="1328" w:type="dxa"/>
          </w:tcPr>
          <w:p w14:paraId="6755B7B0" w14:textId="6BFDF9F7" w:rsidR="00DF62F0" w:rsidRPr="00B232E6" w:rsidRDefault="00DF62F0" w:rsidP="00B232E6">
            <w:pPr>
              <w:jc w:val="both"/>
              <w:rPr>
                <w:rFonts w:ascii="Times New Roman" w:hAnsi="Times New Roman" w:cs="Times New Roman"/>
                <w:lang w:val="fr-CA"/>
              </w:rPr>
            </w:pPr>
            <w:r w:rsidRPr="00B232E6">
              <w:rPr>
                <w:rFonts w:ascii="Times New Roman" w:hAnsi="Times New Roman" w:cs="Times New Roman"/>
                <w:lang w:val="fr-CA"/>
              </w:rPr>
              <w:t>Teneur de coupure appliquée</w:t>
            </w:r>
          </w:p>
        </w:tc>
      </w:tr>
      <w:tr w:rsidR="00DF62F0" w:rsidRPr="00B232E6" w14:paraId="67E65E19" w14:textId="5E74CC27" w:rsidTr="00492F4A">
        <w:trPr>
          <w:jc w:val="center"/>
        </w:trPr>
        <w:tc>
          <w:tcPr>
            <w:tcW w:w="1494" w:type="dxa"/>
          </w:tcPr>
          <w:p w14:paraId="6839FB37" w14:textId="2643F3D7" w:rsidR="00DF62F0" w:rsidRPr="00B232E6" w:rsidRDefault="007601FD" w:rsidP="00B232E6">
            <w:pPr>
              <w:jc w:val="both"/>
              <w:rPr>
                <w:rFonts w:ascii="Times New Roman" w:hAnsi="Times New Roman" w:cs="Times New Roman"/>
                <w:vertAlign w:val="superscript"/>
                <w:lang w:val="fr-CA"/>
              </w:rPr>
            </w:pPr>
            <w:r w:rsidRPr="00B232E6">
              <w:rPr>
                <w:rFonts w:ascii="Times New Roman" w:hAnsi="Times New Roman" w:cs="Times New Roman"/>
                <w:lang w:val="fr-CA"/>
              </w:rPr>
              <w:t>Greenbushes</w:t>
            </w:r>
            <w:r w:rsidRPr="00B232E6">
              <w:rPr>
                <w:rFonts w:ascii="Times New Roman" w:hAnsi="Times New Roman" w:cs="Times New Roman"/>
                <w:vertAlign w:val="superscript"/>
                <w:lang w:val="fr-CA"/>
              </w:rPr>
              <w:t>1</w:t>
            </w:r>
          </w:p>
        </w:tc>
        <w:tc>
          <w:tcPr>
            <w:tcW w:w="2063" w:type="dxa"/>
          </w:tcPr>
          <w:p w14:paraId="13675236" w14:textId="07E6D72A" w:rsidR="00DF62F0" w:rsidRPr="00B232E6" w:rsidRDefault="007601FD" w:rsidP="00B232E6">
            <w:pPr>
              <w:jc w:val="both"/>
              <w:rPr>
                <w:rFonts w:ascii="Times New Roman" w:hAnsi="Times New Roman" w:cs="Times New Roman"/>
                <w:lang w:val="fr-CA"/>
              </w:rPr>
            </w:pPr>
            <w:r w:rsidRPr="00B232E6">
              <w:rPr>
                <w:rFonts w:ascii="Times New Roman" w:hAnsi="Times New Roman" w:cs="Times New Roman"/>
                <w:lang w:val="fr-CA"/>
              </w:rPr>
              <w:t>118.4 Mt</w:t>
            </w:r>
          </w:p>
        </w:tc>
        <w:tc>
          <w:tcPr>
            <w:tcW w:w="2063" w:type="dxa"/>
          </w:tcPr>
          <w:p w14:paraId="7DC9A44D" w14:textId="514C3935" w:rsidR="00DF62F0" w:rsidRPr="00B232E6" w:rsidRDefault="007601FD" w:rsidP="00B232E6">
            <w:pPr>
              <w:jc w:val="both"/>
              <w:rPr>
                <w:rFonts w:ascii="Times New Roman" w:hAnsi="Times New Roman" w:cs="Times New Roman"/>
                <w:lang w:val="fr-CA"/>
              </w:rPr>
            </w:pPr>
            <w:r w:rsidRPr="00B232E6">
              <w:rPr>
                <w:rFonts w:ascii="Times New Roman" w:hAnsi="Times New Roman" w:cs="Times New Roman"/>
                <w:lang w:val="fr-CA"/>
              </w:rPr>
              <w:t>2.4% Li</w:t>
            </w:r>
            <w:r w:rsidRPr="00B232E6">
              <w:rPr>
                <w:rFonts w:ascii="Times New Roman" w:hAnsi="Times New Roman" w:cs="Times New Roman"/>
                <w:vertAlign w:val="subscript"/>
                <w:lang w:val="fr-CA"/>
              </w:rPr>
              <w:t>2</w:t>
            </w:r>
            <w:r w:rsidRPr="00B232E6">
              <w:rPr>
                <w:rFonts w:ascii="Times New Roman" w:hAnsi="Times New Roman" w:cs="Times New Roman"/>
                <w:lang w:val="fr-CA"/>
              </w:rPr>
              <w:t>O</w:t>
            </w:r>
          </w:p>
        </w:tc>
        <w:tc>
          <w:tcPr>
            <w:tcW w:w="1328" w:type="dxa"/>
          </w:tcPr>
          <w:p w14:paraId="41C8DF9E" w14:textId="482ED454" w:rsidR="00DF62F0" w:rsidRPr="00B232E6" w:rsidRDefault="007601FD" w:rsidP="00B232E6">
            <w:pPr>
              <w:jc w:val="both"/>
              <w:rPr>
                <w:rFonts w:ascii="Times New Roman" w:hAnsi="Times New Roman" w:cs="Times New Roman"/>
                <w:lang w:val="fr-CA"/>
              </w:rPr>
            </w:pPr>
            <w:r w:rsidRPr="00B232E6">
              <w:rPr>
                <w:rFonts w:ascii="Times New Roman" w:hAnsi="Times New Roman" w:cs="Times New Roman"/>
                <w:lang w:val="fr-CA"/>
              </w:rPr>
              <w:t>0.5% Li</w:t>
            </w:r>
            <w:r w:rsidRPr="00B232E6">
              <w:rPr>
                <w:rFonts w:ascii="Times New Roman" w:hAnsi="Times New Roman" w:cs="Times New Roman"/>
                <w:vertAlign w:val="subscript"/>
                <w:lang w:val="fr-CA"/>
              </w:rPr>
              <w:t>2</w:t>
            </w:r>
            <w:r w:rsidRPr="00B232E6">
              <w:rPr>
                <w:rFonts w:ascii="Times New Roman" w:hAnsi="Times New Roman" w:cs="Times New Roman"/>
                <w:lang w:val="fr-CA"/>
              </w:rPr>
              <w:t>O</w:t>
            </w:r>
          </w:p>
        </w:tc>
      </w:tr>
      <w:tr w:rsidR="007601FD" w:rsidRPr="00B232E6" w14:paraId="2DD8AD69" w14:textId="77777777" w:rsidTr="00492F4A">
        <w:trPr>
          <w:jc w:val="center"/>
        </w:trPr>
        <w:tc>
          <w:tcPr>
            <w:tcW w:w="1494" w:type="dxa"/>
          </w:tcPr>
          <w:p w14:paraId="00C8F3F0" w14:textId="2583CE83" w:rsidR="007601FD" w:rsidRPr="00B232E6" w:rsidRDefault="007601FD" w:rsidP="00B232E6">
            <w:pPr>
              <w:jc w:val="both"/>
              <w:rPr>
                <w:rFonts w:ascii="Times New Roman" w:hAnsi="Times New Roman" w:cs="Times New Roman"/>
                <w:vertAlign w:val="superscript"/>
                <w:lang w:val="fr-CA"/>
              </w:rPr>
            </w:pPr>
            <w:r w:rsidRPr="00B232E6">
              <w:rPr>
                <w:rFonts w:ascii="Times New Roman" w:hAnsi="Times New Roman" w:cs="Times New Roman"/>
                <w:lang w:val="fr-CA"/>
              </w:rPr>
              <w:t>Pilpagangoora</w:t>
            </w:r>
            <w:r w:rsidRPr="00B232E6">
              <w:rPr>
                <w:rFonts w:ascii="Times New Roman" w:hAnsi="Times New Roman" w:cs="Times New Roman"/>
                <w:vertAlign w:val="superscript"/>
                <w:lang w:val="fr-CA"/>
              </w:rPr>
              <w:t>2</w:t>
            </w:r>
          </w:p>
        </w:tc>
        <w:tc>
          <w:tcPr>
            <w:tcW w:w="2063" w:type="dxa"/>
          </w:tcPr>
          <w:p w14:paraId="3842E4C7" w14:textId="01304754" w:rsidR="007601FD" w:rsidRPr="00B232E6" w:rsidRDefault="007601FD" w:rsidP="00B232E6">
            <w:pPr>
              <w:jc w:val="both"/>
              <w:rPr>
                <w:rFonts w:ascii="Times New Roman" w:hAnsi="Times New Roman" w:cs="Times New Roman"/>
                <w:lang w:val="fr-CA"/>
              </w:rPr>
            </w:pPr>
            <w:r w:rsidRPr="00B232E6">
              <w:rPr>
                <w:rFonts w:ascii="Times New Roman" w:hAnsi="Times New Roman" w:cs="Times New Roman"/>
                <w:lang w:val="fr-CA"/>
              </w:rPr>
              <w:t>135 Mt</w:t>
            </w:r>
          </w:p>
        </w:tc>
        <w:tc>
          <w:tcPr>
            <w:tcW w:w="2063" w:type="dxa"/>
          </w:tcPr>
          <w:p w14:paraId="794F6EAC" w14:textId="46F52FEA" w:rsidR="007601FD" w:rsidRPr="00B232E6" w:rsidRDefault="007601FD" w:rsidP="00B232E6">
            <w:pPr>
              <w:jc w:val="both"/>
              <w:rPr>
                <w:rFonts w:ascii="Times New Roman" w:hAnsi="Times New Roman" w:cs="Times New Roman"/>
                <w:lang w:val="fr-CA"/>
              </w:rPr>
            </w:pPr>
            <w:r w:rsidRPr="00B232E6">
              <w:rPr>
                <w:rFonts w:ascii="Times New Roman" w:hAnsi="Times New Roman" w:cs="Times New Roman"/>
                <w:lang w:val="fr-CA"/>
              </w:rPr>
              <w:t>1.31% Li</w:t>
            </w:r>
            <w:r w:rsidRPr="00B232E6">
              <w:rPr>
                <w:rFonts w:ascii="Times New Roman" w:hAnsi="Times New Roman" w:cs="Times New Roman"/>
                <w:vertAlign w:val="subscript"/>
                <w:lang w:val="fr-CA"/>
              </w:rPr>
              <w:t>2</w:t>
            </w:r>
            <w:r w:rsidRPr="00B232E6">
              <w:rPr>
                <w:rFonts w:ascii="Times New Roman" w:hAnsi="Times New Roman" w:cs="Times New Roman"/>
                <w:lang w:val="fr-CA"/>
              </w:rPr>
              <w:t>O</w:t>
            </w:r>
          </w:p>
        </w:tc>
        <w:tc>
          <w:tcPr>
            <w:tcW w:w="1328" w:type="dxa"/>
          </w:tcPr>
          <w:p w14:paraId="7755B39E" w14:textId="02636F4D" w:rsidR="007601FD" w:rsidRPr="00B232E6" w:rsidRDefault="007601FD" w:rsidP="00B232E6">
            <w:pPr>
              <w:jc w:val="both"/>
              <w:rPr>
                <w:rFonts w:ascii="Times New Roman" w:hAnsi="Times New Roman" w:cs="Times New Roman"/>
                <w:lang w:val="fr-CA"/>
              </w:rPr>
            </w:pPr>
            <w:r w:rsidRPr="00B232E6">
              <w:rPr>
                <w:rFonts w:ascii="Times New Roman" w:hAnsi="Times New Roman" w:cs="Times New Roman"/>
                <w:lang w:val="fr-CA"/>
              </w:rPr>
              <w:t>0.2% Li</w:t>
            </w:r>
            <w:r w:rsidRPr="00B232E6">
              <w:rPr>
                <w:rFonts w:ascii="Times New Roman" w:hAnsi="Times New Roman" w:cs="Times New Roman"/>
                <w:vertAlign w:val="subscript"/>
                <w:lang w:val="fr-CA"/>
              </w:rPr>
              <w:t>2</w:t>
            </w:r>
            <w:r w:rsidRPr="00B232E6">
              <w:rPr>
                <w:rFonts w:ascii="Times New Roman" w:hAnsi="Times New Roman" w:cs="Times New Roman"/>
                <w:lang w:val="fr-CA"/>
              </w:rPr>
              <w:t>O</w:t>
            </w:r>
          </w:p>
        </w:tc>
      </w:tr>
      <w:tr w:rsidR="007601FD" w:rsidRPr="00B232E6" w14:paraId="58648C35" w14:textId="77777777" w:rsidTr="00492F4A">
        <w:trPr>
          <w:jc w:val="center"/>
        </w:trPr>
        <w:tc>
          <w:tcPr>
            <w:tcW w:w="1494" w:type="dxa"/>
          </w:tcPr>
          <w:p w14:paraId="0B1CD3B6" w14:textId="2CC03A22" w:rsidR="007601FD" w:rsidRPr="00B232E6" w:rsidRDefault="007601FD" w:rsidP="00B232E6">
            <w:pPr>
              <w:jc w:val="both"/>
              <w:rPr>
                <w:rFonts w:ascii="Times New Roman" w:hAnsi="Times New Roman" w:cs="Times New Roman"/>
                <w:vertAlign w:val="superscript"/>
                <w:lang w:val="fr-CA"/>
              </w:rPr>
            </w:pPr>
            <w:r w:rsidRPr="00B232E6">
              <w:rPr>
                <w:rFonts w:ascii="Times New Roman" w:hAnsi="Times New Roman" w:cs="Times New Roman"/>
                <w:lang w:val="fr-CA"/>
              </w:rPr>
              <w:t>Wogdina</w:t>
            </w:r>
            <w:r w:rsidRPr="00B232E6">
              <w:rPr>
                <w:rFonts w:ascii="Times New Roman" w:hAnsi="Times New Roman" w:cs="Times New Roman"/>
                <w:vertAlign w:val="superscript"/>
                <w:lang w:val="fr-CA"/>
              </w:rPr>
              <w:t>1</w:t>
            </w:r>
          </w:p>
        </w:tc>
        <w:tc>
          <w:tcPr>
            <w:tcW w:w="2063" w:type="dxa"/>
          </w:tcPr>
          <w:p w14:paraId="6BF29FC4" w14:textId="62B8ECAC" w:rsidR="007601FD" w:rsidRPr="00B232E6" w:rsidRDefault="007601FD" w:rsidP="00B232E6">
            <w:pPr>
              <w:jc w:val="both"/>
              <w:rPr>
                <w:rFonts w:ascii="Times New Roman" w:hAnsi="Times New Roman" w:cs="Times New Roman"/>
                <w:lang w:val="fr-CA"/>
              </w:rPr>
            </w:pPr>
            <w:r w:rsidRPr="00B232E6">
              <w:rPr>
                <w:rFonts w:ascii="Times New Roman" w:hAnsi="Times New Roman" w:cs="Times New Roman"/>
                <w:lang w:val="fr-CA"/>
              </w:rPr>
              <w:t>236.9 Mt</w:t>
            </w:r>
          </w:p>
        </w:tc>
        <w:tc>
          <w:tcPr>
            <w:tcW w:w="2063" w:type="dxa"/>
          </w:tcPr>
          <w:p w14:paraId="55E81A50" w14:textId="79493E3D" w:rsidR="007601FD" w:rsidRPr="00B232E6" w:rsidRDefault="007601FD" w:rsidP="00B232E6">
            <w:pPr>
              <w:jc w:val="both"/>
              <w:rPr>
                <w:rFonts w:ascii="Times New Roman" w:hAnsi="Times New Roman" w:cs="Times New Roman"/>
                <w:lang w:val="fr-CA"/>
              </w:rPr>
            </w:pPr>
            <w:r w:rsidRPr="00B232E6">
              <w:rPr>
                <w:rFonts w:ascii="Times New Roman" w:hAnsi="Times New Roman" w:cs="Times New Roman"/>
                <w:lang w:val="fr-CA"/>
              </w:rPr>
              <w:t>1.19% Li</w:t>
            </w:r>
            <w:r w:rsidRPr="00B232E6">
              <w:rPr>
                <w:rFonts w:ascii="Times New Roman" w:hAnsi="Times New Roman" w:cs="Times New Roman"/>
                <w:vertAlign w:val="subscript"/>
                <w:lang w:val="fr-CA"/>
              </w:rPr>
              <w:t>2</w:t>
            </w:r>
            <w:r w:rsidRPr="00B232E6">
              <w:rPr>
                <w:rFonts w:ascii="Times New Roman" w:hAnsi="Times New Roman" w:cs="Times New Roman"/>
                <w:lang w:val="fr-CA"/>
              </w:rPr>
              <w:t>O</w:t>
            </w:r>
          </w:p>
        </w:tc>
        <w:tc>
          <w:tcPr>
            <w:tcW w:w="1328" w:type="dxa"/>
          </w:tcPr>
          <w:p w14:paraId="44464F7F" w14:textId="185A89D2" w:rsidR="007601FD" w:rsidRPr="00B232E6" w:rsidRDefault="007601FD" w:rsidP="00B232E6">
            <w:pPr>
              <w:jc w:val="both"/>
              <w:rPr>
                <w:rFonts w:ascii="Times New Roman" w:hAnsi="Times New Roman" w:cs="Times New Roman"/>
                <w:lang w:val="fr-CA"/>
              </w:rPr>
            </w:pPr>
            <w:r w:rsidRPr="00B232E6">
              <w:rPr>
                <w:rFonts w:ascii="Times New Roman" w:hAnsi="Times New Roman" w:cs="Times New Roman"/>
                <w:lang w:val="fr-CA"/>
              </w:rPr>
              <w:t>0.5% Li</w:t>
            </w:r>
            <w:r w:rsidRPr="00B232E6">
              <w:rPr>
                <w:rFonts w:ascii="Times New Roman" w:hAnsi="Times New Roman" w:cs="Times New Roman"/>
                <w:vertAlign w:val="subscript"/>
                <w:lang w:val="fr-CA"/>
              </w:rPr>
              <w:t>2</w:t>
            </w:r>
            <w:r w:rsidRPr="00B232E6">
              <w:rPr>
                <w:rFonts w:ascii="Times New Roman" w:hAnsi="Times New Roman" w:cs="Times New Roman"/>
                <w:lang w:val="fr-CA"/>
              </w:rPr>
              <w:t>O</w:t>
            </w:r>
          </w:p>
        </w:tc>
      </w:tr>
      <w:tr w:rsidR="007601FD" w:rsidRPr="00B232E6" w14:paraId="48876007" w14:textId="77777777" w:rsidTr="00492F4A">
        <w:trPr>
          <w:jc w:val="center"/>
        </w:trPr>
        <w:tc>
          <w:tcPr>
            <w:tcW w:w="1494" w:type="dxa"/>
          </w:tcPr>
          <w:p w14:paraId="44708AEF" w14:textId="05FA1461" w:rsidR="007601FD" w:rsidRPr="00B232E6" w:rsidRDefault="007601FD" w:rsidP="00B232E6">
            <w:pPr>
              <w:jc w:val="both"/>
              <w:rPr>
                <w:rFonts w:ascii="Times New Roman" w:hAnsi="Times New Roman" w:cs="Times New Roman"/>
                <w:vertAlign w:val="superscript"/>
                <w:lang w:val="fr-CA"/>
              </w:rPr>
            </w:pPr>
            <w:r w:rsidRPr="00B232E6">
              <w:rPr>
                <w:rFonts w:ascii="Times New Roman" w:hAnsi="Times New Roman" w:cs="Times New Roman"/>
                <w:lang w:val="fr-CA"/>
              </w:rPr>
              <w:t>Earl Grey</w:t>
            </w:r>
            <w:r w:rsidRPr="00B232E6">
              <w:rPr>
                <w:rFonts w:ascii="Times New Roman" w:hAnsi="Times New Roman" w:cs="Times New Roman"/>
                <w:vertAlign w:val="superscript"/>
                <w:lang w:val="fr-CA"/>
              </w:rPr>
              <w:t>5</w:t>
            </w:r>
          </w:p>
        </w:tc>
        <w:tc>
          <w:tcPr>
            <w:tcW w:w="2063" w:type="dxa"/>
          </w:tcPr>
          <w:p w14:paraId="2C8EDA60" w14:textId="454812C1" w:rsidR="007601FD" w:rsidRPr="00B232E6" w:rsidRDefault="007601FD" w:rsidP="00B232E6">
            <w:pPr>
              <w:jc w:val="both"/>
              <w:rPr>
                <w:rFonts w:ascii="Times New Roman" w:hAnsi="Times New Roman" w:cs="Times New Roman"/>
                <w:lang w:val="fr-CA"/>
              </w:rPr>
            </w:pPr>
            <w:r w:rsidRPr="00B232E6">
              <w:rPr>
                <w:rFonts w:ascii="Times New Roman" w:hAnsi="Times New Roman" w:cs="Times New Roman"/>
                <w:lang w:val="fr-CA"/>
              </w:rPr>
              <w:t>189 Mt</w:t>
            </w:r>
          </w:p>
        </w:tc>
        <w:tc>
          <w:tcPr>
            <w:tcW w:w="2063" w:type="dxa"/>
          </w:tcPr>
          <w:p w14:paraId="7F5C6FC2" w14:textId="4D9BD267" w:rsidR="007601FD" w:rsidRPr="00B232E6" w:rsidRDefault="007601FD" w:rsidP="00B232E6">
            <w:pPr>
              <w:jc w:val="both"/>
              <w:rPr>
                <w:rFonts w:ascii="Times New Roman" w:hAnsi="Times New Roman" w:cs="Times New Roman"/>
                <w:lang w:val="fr-CA"/>
              </w:rPr>
            </w:pPr>
            <w:r w:rsidRPr="00B232E6">
              <w:rPr>
                <w:rFonts w:ascii="Times New Roman" w:hAnsi="Times New Roman" w:cs="Times New Roman"/>
                <w:lang w:val="fr-CA"/>
              </w:rPr>
              <w:t>1.5% Li</w:t>
            </w:r>
            <w:r w:rsidRPr="00B232E6">
              <w:rPr>
                <w:rFonts w:ascii="Times New Roman" w:hAnsi="Times New Roman" w:cs="Times New Roman"/>
                <w:vertAlign w:val="subscript"/>
                <w:lang w:val="fr-CA"/>
              </w:rPr>
              <w:t>2</w:t>
            </w:r>
            <w:r w:rsidRPr="00B232E6">
              <w:rPr>
                <w:rFonts w:ascii="Times New Roman" w:hAnsi="Times New Roman" w:cs="Times New Roman"/>
                <w:lang w:val="fr-CA"/>
              </w:rPr>
              <w:t>O</w:t>
            </w:r>
          </w:p>
        </w:tc>
        <w:tc>
          <w:tcPr>
            <w:tcW w:w="1328" w:type="dxa"/>
          </w:tcPr>
          <w:p w14:paraId="18387258" w14:textId="174052A4" w:rsidR="007601FD" w:rsidRPr="00B232E6" w:rsidRDefault="007601FD" w:rsidP="00B232E6">
            <w:pPr>
              <w:jc w:val="both"/>
              <w:rPr>
                <w:rFonts w:ascii="Times New Roman" w:hAnsi="Times New Roman" w:cs="Times New Roman"/>
                <w:lang w:val="fr-CA"/>
              </w:rPr>
            </w:pPr>
            <w:r w:rsidRPr="00B232E6">
              <w:rPr>
                <w:rFonts w:ascii="Times New Roman" w:hAnsi="Times New Roman" w:cs="Times New Roman"/>
                <w:lang w:val="fr-CA"/>
              </w:rPr>
              <w:t>0.5 %</w:t>
            </w:r>
          </w:p>
        </w:tc>
      </w:tr>
      <w:tr w:rsidR="00DF62F0" w:rsidRPr="00B232E6" w14:paraId="5D2A6B9B" w14:textId="77777777" w:rsidTr="00492F4A">
        <w:trPr>
          <w:jc w:val="center"/>
        </w:trPr>
        <w:tc>
          <w:tcPr>
            <w:tcW w:w="1494" w:type="dxa"/>
          </w:tcPr>
          <w:p w14:paraId="0C04C649" w14:textId="4E313303" w:rsidR="00DF62F0" w:rsidRPr="00B232E6" w:rsidRDefault="00492F4A" w:rsidP="00B232E6">
            <w:pPr>
              <w:jc w:val="both"/>
              <w:rPr>
                <w:rFonts w:ascii="Times New Roman" w:hAnsi="Times New Roman" w:cs="Times New Roman"/>
                <w:vertAlign w:val="superscript"/>
                <w:lang w:val="fr-CA"/>
              </w:rPr>
            </w:pPr>
            <w:r w:rsidRPr="00B232E6">
              <w:rPr>
                <w:rFonts w:ascii="Times New Roman" w:hAnsi="Times New Roman" w:cs="Times New Roman"/>
                <w:lang w:val="fr-CA"/>
              </w:rPr>
              <w:t>Authier (</w:t>
            </w:r>
            <w:proofErr w:type="spellStart"/>
            <w:r w:rsidRPr="00B232E6">
              <w:rPr>
                <w:rFonts w:ascii="Times New Roman" w:hAnsi="Times New Roman" w:cs="Times New Roman"/>
                <w:lang w:val="fr-CA"/>
              </w:rPr>
              <w:t>Sayona</w:t>
            </w:r>
            <w:proofErr w:type="spellEnd"/>
            <w:r w:rsidRPr="00B232E6">
              <w:rPr>
                <w:rFonts w:ascii="Times New Roman" w:hAnsi="Times New Roman" w:cs="Times New Roman"/>
                <w:lang w:val="fr-CA"/>
              </w:rPr>
              <w:t>)</w:t>
            </w:r>
            <w:r w:rsidR="00DF62F0" w:rsidRPr="00B232E6">
              <w:rPr>
                <w:rFonts w:ascii="Times New Roman" w:hAnsi="Times New Roman" w:cs="Times New Roman"/>
                <w:vertAlign w:val="superscript"/>
                <w:lang w:val="fr-CA"/>
              </w:rPr>
              <w:t>3</w:t>
            </w:r>
          </w:p>
        </w:tc>
        <w:tc>
          <w:tcPr>
            <w:tcW w:w="2063" w:type="dxa"/>
          </w:tcPr>
          <w:p w14:paraId="2E37A301" w14:textId="6711BAF1" w:rsidR="00DF62F0" w:rsidRPr="00B232E6" w:rsidRDefault="00DF62F0" w:rsidP="00B232E6">
            <w:pPr>
              <w:jc w:val="both"/>
              <w:rPr>
                <w:rFonts w:ascii="Times New Roman" w:hAnsi="Times New Roman" w:cs="Times New Roman"/>
                <w:lang w:val="fr-CA"/>
              </w:rPr>
            </w:pPr>
            <w:r w:rsidRPr="00B232E6">
              <w:rPr>
                <w:rFonts w:ascii="Times New Roman" w:hAnsi="Times New Roman" w:cs="Times New Roman"/>
                <w:lang w:val="fr-CA"/>
              </w:rPr>
              <w:t>17.18 Mt</w:t>
            </w:r>
          </w:p>
        </w:tc>
        <w:tc>
          <w:tcPr>
            <w:tcW w:w="2063" w:type="dxa"/>
          </w:tcPr>
          <w:p w14:paraId="277537F4" w14:textId="574FF905" w:rsidR="00DF62F0" w:rsidRPr="00B232E6" w:rsidRDefault="00DF62F0" w:rsidP="00B232E6">
            <w:pPr>
              <w:jc w:val="both"/>
              <w:rPr>
                <w:rFonts w:ascii="Times New Roman" w:hAnsi="Times New Roman" w:cs="Times New Roman"/>
                <w:lang w:val="fr-CA"/>
              </w:rPr>
            </w:pPr>
            <w:r w:rsidRPr="00B232E6">
              <w:rPr>
                <w:rFonts w:ascii="Times New Roman" w:hAnsi="Times New Roman" w:cs="Times New Roman"/>
                <w:lang w:val="fr-CA"/>
              </w:rPr>
              <w:t xml:space="preserve">1.01 % </w:t>
            </w:r>
            <w:r w:rsidR="007601FD" w:rsidRPr="00B232E6">
              <w:rPr>
                <w:rFonts w:ascii="Times New Roman" w:hAnsi="Times New Roman" w:cs="Times New Roman"/>
                <w:lang w:val="fr-CA"/>
              </w:rPr>
              <w:t>Li</w:t>
            </w:r>
            <w:r w:rsidR="007601FD" w:rsidRPr="00B232E6">
              <w:rPr>
                <w:rFonts w:ascii="Times New Roman" w:hAnsi="Times New Roman" w:cs="Times New Roman"/>
                <w:vertAlign w:val="subscript"/>
                <w:lang w:val="fr-CA"/>
              </w:rPr>
              <w:t>2</w:t>
            </w:r>
            <w:r w:rsidR="007601FD" w:rsidRPr="00B232E6">
              <w:rPr>
                <w:rFonts w:ascii="Times New Roman" w:hAnsi="Times New Roman" w:cs="Times New Roman"/>
                <w:lang w:val="fr-CA"/>
              </w:rPr>
              <w:t>O</w:t>
            </w:r>
          </w:p>
        </w:tc>
        <w:tc>
          <w:tcPr>
            <w:tcW w:w="1328" w:type="dxa"/>
          </w:tcPr>
          <w:p w14:paraId="56F05645" w14:textId="2F2D84FA" w:rsidR="00DF62F0" w:rsidRPr="00B232E6" w:rsidRDefault="00DF62F0" w:rsidP="00B232E6">
            <w:pPr>
              <w:jc w:val="both"/>
              <w:rPr>
                <w:rFonts w:ascii="Times New Roman" w:hAnsi="Times New Roman" w:cs="Times New Roman"/>
                <w:lang w:val="fr-CA"/>
              </w:rPr>
            </w:pPr>
            <w:r w:rsidRPr="00B232E6">
              <w:rPr>
                <w:rFonts w:ascii="Times New Roman" w:hAnsi="Times New Roman" w:cs="Times New Roman"/>
                <w:lang w:val="fr-CA"/>
              </w:rPr>
              <w:t xml:space="preserve">0.55 % </w:t>
            </w:r>
            <w:r w:rsidR="007601FD" w:rsidRPr="00B232E6">
              <w:rPr>
                <w:rFonts w:ascii="Times New Roman" w:hAnsi="Times New Roman" w:cs="Times New Roman"/>
                <w:lang w:val="fr-CA"/>
              </w:rPr>
              <w:t>Li</w:t>
            </w:r>
            <w:r w:rsidR="007601FD" w:rsidRPr="00B232E6">
              <w:rPr>
                <w:rFonts w:ascii="Times New Roman" w:hAnsi="Times New Roman" w:cs="Times New Roman"/>
                <w:vertAlign w:val="subscript"/>
                <w:lang w:val="fr-CA"/>
              </w:rPr>
              <w:t>2</w:t>
            </w:r>
            <w:r w:rsidR="007601FD" w:rsidRPr="00B232E6">
              <w:rPr>
                <w:rFonts w:ascii="Times New Roman" w:hAnsi="Times New Roman" w:cs="Times New Roman"/>
                <w:lang w:val="fr-CA"/>
              </w:rPr>
              <w:t>O</w:t>
            </w:r>
          </w:p>
        </w:tc>
      </w:tr>
      <w:tr w:rsidR="00DF62F0" w:rsidRPr="00B232E6" w14:paraId="4DE1170A" w14:textId="77777777" w:rsidTr="00492F4A">
        <w:trPr>
          <w:jc w:val="center"/>
        </w:trPr>
        <w:tc>
          <w:tcPr>
            <w:tcW w:w="1494" w:type="dxa"/>
          </w:tcPr>
          <w:p w14:paraId="1F3381E8" w14:textId="281ECAEE" w:rsidR="00DF62F0" w:rsidRPr="00B232E6" w:rsidRDefault="00492F4A" w:rsidP="00B232E6">
            <w:pPr>
              <w:jc w:val="both"/>
              <w:rPr>
                <w:rFonts w:ascii="Times New Roman" w:hAnsi="Times New Roman" w:cs="Times New Roman"/>
                <w:vertAlign w:val="superscript"/>
                <w:lang w:val="fr-CA"/>
              </w:rPr>
            </w:pPr>
            <w:proofErr w:type="spellStart"/>
            <w:r w:rsidRPr="00B232E6">
              <w:rPr>
                <w:rFonts w:ascii="Times New Roman" w:hAnsi="Times New Roman" w:cs="Times New Roman"/>
                <w:lang w:val="fr-CA"/>
              </w:rPr>
              <w:t>Wabouchi</w:t>
            </w:r>
            <w:proofErr w:type="spellEnd"/>
            <w:r w:rsidRPr="00B232E6">
              <w:rPr>
                <w:rFonts w:ascii="Times New Roman" w:hAnsi="Times New Roman" w:cs="Times New Roman"/>
                <w:lang w:val="fr-CA"/>
              </w:rPr>
              <w:t xml:space="preserve"> (</w:t>
            </w:r>
            <w:r w:rsidR="00DF62F0" w:rsidRPr="00B232E6">
              <w:rPr>
                <w:rFonts w:ascii="Times New Roman" w:hAnsi="Times New Roman" w:cs="Times New Roman"/>
                <w:lang w:val="fr-CA"/>
              </w:rPr>
              <w:t>Nemaska</w:t>
            </w:r>
            <w:r w:rsidRPr="00B232E6">
              <w:rPr>
                <w:rFonts w:ascii="Times New Roman" w:hAnsi="Times New Roman" w:cs="Times New Roman"/>
                <w:lang w:val="fr-CA"/>
              </w:rPr>
              <w:t>, (</w:t>
            </w:r>
            <w:proofErr w:type="spellStart"/>
            <w:r w:rsidRPr="00B232E6">
              <w:rPr>
                <w:rFonts w:ascii="Times New Roman" w:hAnsi="Times New Roman" w:cs="Times New Roman"/>
                <w:lang w:val="fr-CA"/>
              </w:rPr>
              <w:t>Pallinghurst</w:t>
            </w:r>
            <w:proofErr w:type="spellEnd"/>
            <w:r w:rsidRPr="00B232E6">
              <w:rPr>
                <w:rFonts w:ascii="Times New Roman" w:hAnsi="Times New Roman" w:cs="Times New Roman"/>
                <w:lang w:val="fr-CA"/>
              </w:rPr>
              <w:t>)</w:t>
            </w:r>
            <w:r w:rsidR="00DF62F0" w:rsidRPr="00B232E6">
              <w:rPr>
                <w:rFonts w:ascii="Times New Roman" w:hAnsi="Times New Roman" w:cs="Times New Roman"/>
                <w:vertAlign w:val="superscript"/>
                <w:lang w:val="fr-CA"/>
              </w:rPr>
              <w:t>4</w:t>
            </w:r>
          </w:p>
        </w:tc>
        <w:tc>
          <w:tcPr>
            <w:tcW w:w="2063" w:type="dxa"/>
          </w:tcPr>
          <w:p w14:paraId="160B561C" w14:textId="625CD79A" w:rsidR="00DF62F0" w:rsidRPr="00B232E6" w:rsidRDefault="00DF62F0" w:rsidP="00B232E6">
            <w:pPr>
              <w:jc w:val="both"/>
              <w:rPr>
                <w:rFonts w:ascii="Times New Roman" w:hAnsi="Times New Roman" w:cs="Times New Roman"/>
                <w:lang w:val="fr-CA"/>
              </w:rPr>
            </w:pPr>
            <w:r w:rsidRPr="00B232E6">
              <w:rPr>
                <w:rFonts w:ascii="Times New Roman" w:hAnsi="Times New Roman" w:cs="Times New Roman"/>
                <w:lang w:val="fr-CA"/>
              </w:rPr>
              <w:t>38.26 Mt</w:t>
            </w:r>
          </w:p>
        </w:tc>
        <w:tc>
          <w:tcPr>
            <w:tcW w:w="2063" w:type="dxa"/>
          </w:tcPr>
          <w:p w14:paraId="4BF325D2" w14:textId="57DB819E" w:rsidR="00DF62F0" w:rsidRPr="00B232E6" w:rsidRDefault="00DF62F0" w:rsidP="00B232E6">
            <w:pPr>
              <w:jc w:val="both"/>
              <w:rPr>
                <w:rFonts w:ascii="Times New Roman" w:hAnsi="Times New Roman" w:cs="Times New Roman"/>
                <w:lang w:val="fr-CA"/>
              </w:rPr>
            </w:pPr>
            <w:r w:rsidRPr="00B232E6">
              <w:rPr>
                <w:rFonts w:ascii="Times New Roman" w:hAnsi="Times New Roman" w:cs="Times New Roman"/>
                <w:lang w:val="fr-CA"/>
              </w:rPr>
              <w:t xml:space="preserve">1.45 % </w:t>
            </w:r>
            <w:r w:rsidR="007601FD" w:rsidRPr="00B232E6">
              <w:rPr>
                <w:rFonts w:ascii="Times New Roman" w:hAnsi="Times New Roman" w:cs="Times New Roman"/>
                <w:lang w:val="fr-CA"/>
              </w:rPr>
              <w:t>Li</w:t>
            </w:r>
            <w:r w:rsidR="007601FD" w:rsidRPr="00B232E6">
              <w:rPr>
                <w:rFonts w:ascii="Times New Roman" w:hAnsi="Times New Roman" w:cs="Times New Roman"/>
                <w:vertAlign w:val="subscript"/>
                <w:lang w:val="fr-CA"/>
              </w:rPr>
              <w:t>2</w:t>
            </w:r>
            <w:r w:rsidR="007601FD" w:rsidRPr="00B232E6">
              <w:rPr>
                <w:rFonts w:ascii="Times New Roman" w:hAnsi="Times New Roman" w:cs="Times New Roman"/>
                <w:lang w:val="fr-CA"/>
              </w:rPr>
              <w:t>O</w:t>
            </w:r>
          </w:p>
        </w:tc>
        <w:tc>
          <w:tcPr>
            <w:tcW w:w="1328" w:type="dxa"/>
          </w:tcPr>
          <w:p w14:paraId="49FEC53A" w14:textId="11E32295" w:rsidR="00DF62F0" w:rsidRPr="00B232E6" w:rsidRDefault="00DF62F0" w:rsidP="00B232E6">
            <w:pPr>
              <w:jc w:val="both"/>
              <w:rPr>
                <w:rFonts w:ascii="Times New Roman" w:hAnsi="Times New Roman" w:cs="Times New Roman"/>
                <w:lang w:val="fr-CA"/>
              </w:rPr>
            </w:pPr>
            <w:r w:rsidRPr="00B232E6">
              <w:rPr>
                <w:rFonts w:ascii="Times New Roman" w:hAnsi="Times New Roman" w:cs="Times New Roman"/>
                <w:lang w:val="fr-CA"/>
              </w:rPr>
              <w:t xml:space="preserve">0.3 % </w:t>
            </w:r>
            <w:r w:rsidR="007601FD" w:rsidRPr="00B232E6">
              <w:rPr>
                <w:rFonts w:ascii="Times New Roman" w:hAnsi="Times New Roman" w:cs="Times New Roman"/>
                <w:lang w:val="fr-CA"/>
              </w:rPr>
              <w:t>Li</w:t>
            </w:r>
            <w:r w:rsidR="007601FD" w:rsidRPr="00B232E6">
              <w:rPr>
                <w:rFonts w:ascii="Times New Roman" w:hAnsi="Times New Roman" w:cs="Times New Roman"/>
                <w:vertAlign w:val="subscript"/>
                <w:lang w:val="fr-CA"/>
              </w:rPr>
              <w:t>2</w:t>
            </w:r>
            <w:r w:rsidR="007601FD" w:rsidRPr="00B232E6">
              <w:rPr>
                <w:rFonts w:ascii="Times New Roman" w:hAnsi="Times New Roman" w:cs="Times New Roman"/>
                <w:lang w:val="fr-CA"/>
              </w:rPr>
              <w:t>O</w:t>
            </w:r>
          </w:p>
        </w:tc>
      </w:tr>
    </w:tbl>
    <w:p w14:paraId="16526E7F" w14:textId="5231D194" w:rsidR="00DF62F0" w:rsidRPr="00B232E6" w:rsidRDefault="007601FD" w:rsidP="00B232E6">
      <w:pPr>
        <w:jc w:val="both"/>
        <w:rPr>
          <w:rFonts w:ascii="Times New Roman" w:hAnsi="Times New Roman" w:cs="Times New Roman"/>
          <w:lang w:val="en-CA"/>
        </w:rPr>
      </w:pPr>
      <w:r w:rsidRPr="00B232E6">
        <w:rPr>
          <w:rFonts w:ascii="Times New Roman" w:hAnsi="Times New Roman" w:cs="Times New Roman"/>
          <w:vertAlign w:val="superscript"/>
          <w:lang w:val="en-CA"/>
        </w:rPr>
        <w:t>1</w:t>
      </w:r>
      <w:r w:rsidRPr="00B232E6">
        <w:rPr>
          <w:rFonts w:ascii="Times New Roman" w:hAnsi="Times New Roman" w:cs="Times New Roman"/>
          <w:lang w:val="en-CA"/>
        </w:rPr>
        <w:t xml:space="preserve"> Australian Resource Reviews Lithium 2018. </w:t>
      </w:r>
      <w:hyperlink r:id="rId6" w:anchor="heading-2" w:history="1">
        <w:r w:rsidRPr="00B232E6">
          <w:rPr>
            <w:rStyle w:val="Hyperlink"/>
            <w:rFonts w:ascii="Times New Roman" w:hAnsi="Times New Roman" w:cs="Times New Roman"/>
            <w:lang w:val="en-CA"/>
          </w:rPr>
          <w:t>https://www.ga.gov.au/scientific-topics/minerals/mineral-resources-and-advice/australian-resource-reviews/lithium#heading-2</w:t>
        </w:r>
      </w:hyperlink>
    </w:p>
    <w:p w14:paraId="5BE694C6" w14:textId="2D495105" w:rsidR="007601FD" w:rsidRPr="00B232E6" w:rsidRDefault="007601FD" w:rsidP="00B232E6">
      <w:pPr>
        <w:jc w:val="both"/>
        <w:rPr>
          <w:rFonts w:ascii="Times New Roman" w:hAnsi="Times New Roman" w:cs="Times New Roman"/>
          <w:lang w:val="en-CA"/>
        </w:rPr>
      </w:pPr>
      <w:r w:rsidRPr="00B232E6">
        <w:rPr>
          <w:rFonts w:ascii="Times New Roman" w:hAnsi="Times New Roman" w:cs="Times New Roman"/>
          <w:vertAlign w:val="superscript"/>
          <w:lang w:val="en-CA"/>
        </w:rPr>
        <w:t>2</w:t>
      </w:r>
      <w:r w:rsidRPr="00B232E6">
        <w:rPr>
          <w:rFonts w:ascii="Times New Roman" w:hAnsi="Times New Roman" w:cs="Times New Roman"/>
          <w:lang w:val="en-CA"/>
        </w:rPr>
        <w:t>JORC report: http://www.pilbaraminerals.com.au/site/PDF/2235_0/PilgangooraReserveandResourceUpgrade</w:t>
      </w:r>
    </w:p>
    <w:p w14:paraId="1C8A8949" w14:textId="7CCF6D01" w:rsidR="00DF62F0" w:rsidRPr="00B232E6" w:rsidRDefault="00DF62F0" w:rsidP="00B232E6">
      <w:pPr>
        <w:jc w:val="both"/>
        <w:rPr>
          <w:rFonts w:ascii="Times New Roman" w:hAnsi="Times New Roman" w:cs="Times New Roman"/>
          <w:lang w:val="fr-CA"/>
        </w:rPr>
      </w:pPr>
      <w:r w:rsidRPr="00B232E6">
        <w:rPr>
          <w:rFonts w:ascii="Times New Roman" w:hAnsi="Times New Roman" w:cs="Times New Roman"/>
          <w:vertAlign w:val="superscript"/>
          <w:lang w:val="fr-CA"/>
        </w:rPr>
        <w:t>3</w:t>
      </w:r>
      <w:r w:rsidRPr="00B232E6">
        <w:rPr>
          <w:rFonts w:ascii="Times New Roman" w:hAnsi="Times New Roman" w:cs="Times New Roman"/>
          <w:lang w:val="fr-CA"/>
        </w:rPr>
        <w:t>Source :</w:t>
      </w:r>
      <w:r w:rsidR="00492F4A" w:rsidRPr="00B232E6">
        <w:rPr>
          <w:rFonts w:ascii="Times New Roman" w:hAnsi="Times New Roman" w:cs="Times New Roman"/>
          <w:lang w:val="fr-CA"/>
        </w:rPr>
        <w:t xml:space="preserve"> site internet de </w:t>
      </w:r>
      <w:proofErr w:type="spellStart"/>
      <w:r w:rsidR="00492F4A" w:rsidRPr="00B232E6">
        <w:rPr>
          <w:rFonts w:ascii="Times New Roman" w:hAnsi="Times New Roman" w:cs="Times New Roman"/>
          <w:lang w:val="fr-CA"/>
        </w:rPr>
        <w:t>Sayona</w:t>
      </w:r>
      <w:proofErr w:type="spellEnd"/>
      <w:r w:rsidR="00492F4A" w:rsidRPr="00B232E6">
        <w:rPr>
          <w:rFonts w:ascii="Times New Roman" w:hAnsi="Times New Roman" w:cs="Times New Roman"/>
          <w:lang w:val="fr-CA"/>
        </w:rPr>
        <w:t xml:space="preserve"> : </w:t>
      </w:r>
      <w:hyperlink r:id="rId7" w:history="1">
        <w:r w:rsidR="00492F4A" w:rsidRPr="00B232E6">
          <w:rPr>
            <w:rStyle w:val="Hyperlink"/>
            <w:rFonts w:ascii="Times New Roman" w:hAnsi="Times New Roman" w:cs="Times New Roman"/>
            <w:lang w:val="fr-CA"/>
          </w:rPr>
          <w:t>https://sayonamining.com.au/authier-project/</w:t>
        </w:r>
      </w:hyperlink>
      <w:r w:rsidR="00492F4A" w:rsidRPr="00B232E6">
        <w:rPr>
          <w:rFonts w:ascii="Times New Roman" w:hAnsi="Times New Roman" w:cs="Times New Roman"/>
          <w:lang w:val="fr-CA"/>
        </w:rPr>
        <w:t xml:space="preserve"> consulté le 22 août 2021. Étude de faisabilité révisée: https://sayonamining.com.au/wp/wp-content/uploads/2019/11/SYA_ASX-Announ_20191111_Revised-Authier-DFS.pdf </w:t>
      </w:r>
      <w:r w:rsidRPr="00B232E6">
        <w:rPr>
          <w:rFonts w:ascii="Times New Roman" w:hAnsi="Times New Roman" w:cs="Times New Roman"/>
          <w:lang w:val="fr-CA"/>
        </w:rPr>
        <w:t xml:space="preserve"> </w:t>
      </w:r>
    </w:p>
    <w:p w14:paraId="788DD405" w14:textId="4B356799" w:rsidR="00DF62F0" w:rsidRPr="00B232E6" w:rsidRDefault="00DF62F0" w:rsidP="00B232E6">
      <w:pPr>
        <w:jc w:val="both"/>
        <w:rPr>
          <w:rFonts w:ascii="Times New Roman" w:hAnsi="Times New Roman" w:cs="Times New Roman"/>
          <w:lang w:val="en-CA"/>
        </w:rPr>
      </w:pPr>
      <w:r w:rsidRPr="00B232E6">
        <w:rPr>
          <w:rFonts w:ascii="Times New Roman" w:hAnsi="Times New Roman" w:cs="Times New Roman"/>
          <w:vertAlign w:val="superscript"/>
          <w:lang w:val="fr-CA"/>
        </w:rPr>
        <w:t>4</w:t>
      </w:r>
      <w:r w:rsidRPr="00B232E6">
        <w:rPr>
          <w:rFonts w:ascii="Times New Roman" w:hAnsi="Times New Roman" w:cs="Times New Roman"/>
          <w:lang w:val="fr-CA"/>
        </w:rPr>
        <w:t xml:space="preserve">Source : Rapport technique du 9 août 2019 sur </w:t>
      </w:r>
      <w:proofErr w:type="spellStart"/>
      <w:r w:rsidRPr="00B232E6">
        <w:rPr>
          <w:rFonts w:ascii="Times New Roman" w:hAnsi="Times New Roman" w:cs="Times New Roman"/>
          <w:lang w:val="fr-CA"/>
        </w:rPr>
        <w:t>Sedar</w:t>
      </w:r>
      <w:proofErr w:type="spellEnd"/>
      <w:r w:rsidRPr="00B232E6">
        <w:rPr>
          <w:rFonts w:ascii="Times New Roman" w:hAnsi="Times New Roman" w:cs="Times New Roman"/>
          <w:lang w:val="fr-CA"/>
        </w:rPr>
        <w:t xml:space="preserve"> : NI 43-101 </w:t>
      </w:r>
      <w:proofErr w:type="spellStart"/>
      <w:r w:rsidRPr="00B232E6">
        <w:rPr>
          <w:rFonts w:ascii="Times New Roman" w:hAnsi="Times New Roman" w:cs="Times New Roman"/>
          <w:lang w:val="fr-CA"/>
        </w:rPr>
        <w:t>Technical</w:t>
      </w:r>
      <w:proofErr w:type="spellEnd"/>
      <w:r w:rsidRPr="00B232E6">
        <w:rPr>
          <w:rFonts w:ascii="Times New Roman" w:hAnsi="Times New Roman" w:cs="Times New Roman"/>
          <w:lang w:val="fr-CA"/>
        </w:rPr>
        <w:t xml:space="preserve"> Report. </w:t>
      </w:r>
      <w:r w:rsidRPr="00B232E6">
        <w:rPr>
          <w:rFonts w:ascii="Times New Roman" w:hAnsi="Times New Roman" w:cs="Times New Roman"/>
          <w:lang w:val="en-CA"/>
        </w:rPr>
        <w:t xml:space="preserve">Report on the Estimate to Complete for the </w:t>
      </w:r>
      <w:proofErr w:type="spellStart"/>
      <w:r w:rsidRPr="00B232E6">
        <w:rPr>
          <w:rFonts w:ascii="Times New Roman" w:hAnsi="Times New Roman" w:cs="Times New Roman"/>
          <w:lang w:val="en-CA"/>
        </w:rPr>
        <w:t>Whabouchi</w:t>
      </w:r>
      <w:proofErr w:type="spellEnd"/>
      <w:r w:rsidRPr="00B232E6">
        <w:rPr>
          <w:rFonts w:ascii="Times New Roman" w:hAnsi="Times New Roman" w:cs="Times New Roman"/>
          <w:lang w:val="en-CA"/>
        </w:rPr>
        <w:t xml:space="preserve"> Lithium Mine and Shawinigan Electrochemical Plant Nemaska Project</w:t>
      </w:r>
    </w:p>
    <w:p w14:paraId="02D0611E" w14:textId="71A6588B" w:rsidR="00DF62F0" w:rsidRPr="00B232E6" w:rsidRDefault="007601FD" w:rsidP="00B232E6">
      <w:pPr>
        <w:jc w:val="both"/>
        <w:rPr>
          <w:rFonts w:ascii="Times New Roman" w:hAnsi="Times New Roman" w:cs="Times New Roman"/>
          <w:lang w:val="en-CA"/>
        </w:rPr>
      </w:pPr>
      <w:r w:rsidRPr="00B232E6">
        <w:rPr>
          <w:rFonts w:ascii="Times New Roman" w:hAnsi="Times New Roman" w:cs="Times New Roman"/>
          <w:vertAlign w:val="superscript"/>
          <w:lang w:val="en-CA"/>
        </w:rPr>
        <w:t>5</w:t>
      </w:r>
      <w:r w:rsidRPr="00B232E6">
        <w:rPr>
          <w:rFonts w:ascii="Times New Roman" w:hAnsi="Times New Roman" w:cs="Times New Roman"/>
          <w:lang w:val="en-CA"/>
        </w:rPr>
        <w:t>JORC report: https://wcsecure.weblink.com.au/pdf/KDR/01963105.pdf</w:t>
      </w:r>
    </w:p>
    <w:p w14:paraId="0643F136" w14:textId="6F8B2141" w:rsidR="00B57B61" w:rsidRPr="00B232E6" w:rsidRDefault="008627FD" w:rsidP="00B232E6">
      <w:pPr>
        <w:jc w:val="both"/>
        <w:rPr>
          <w:rFonts w:ascii="Times New Roman" w:hAnsi="Times New Roman" w:cs="Times New Roman"/>
          <w:lang w:val="fr-CA"/>
        </w:rPr>
      </w:pPr>
      <w:r w:rsidRPr="00B232E6">
        <w:rPr>
          <w:rFonts w:ascii="Times New Roman" w:hAnsi="Times New Roman" w:cs="Times New Roman"/>
          <w:lang w:val="fr-CA"/>
        </w:rPr>
        <w:t>Le tableau suivant présente un classement des mines et projets de lithium classés par tonnage de lithium contenu dans le minerai :</w:t>
      </w:r>
    </w:p>
    <w:p w14:paraId="4787BB57" w14:textId="725A3C5E" w:rsidR="008627FD" w:rsidRPr="00B232E6" w:rsidRDefault="008627FD" w:rsidP="00B232E6">
      <w:pPr>
        <w:jc w:val="both"/>
        <w:rPr>
          <w:rFonts w:ascii="Times New Roman" w:hAnsi="Times New Roman" w:cs="Times New Roman"/>
          <w:lang w:val="fr-CA"/>
        </w:rPr>
      </w:pPr>
      <w:r w:rsidRPr="00B232E6">
        <w:rPr>
          <w:rFonts w:ascii="Times New Roman" w:hAnsi="Times New Roman" w:cs="Times New Roman"/>
          <w:noProof/>
          <w:lang w:val="fr-CA"/>
        </w:rPr>
        <w:drawing>
          <wp:inline distT="0" distB="0" distL="0" distR="0" wp14:anchorId="0ACAE799" wp14:editId="2756224C">
            <wp:extent cx="5571067" cy="3318005"/>
            <wp:effectExtent l="0" t="0" r="0" b="0"/>
            <wp:docPr id="1" name="Image 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abl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7973" cy="332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4A9F2" w14:textId="77777777" w:rsidR="00B57B61" w:rsidRPr="00B232E6" w:rsidRDefault="00B57B61" w:rsidP="00B232E6">
      <w:pPr>
        <w:jc w:val="both"/>
        <w:rPr>
          <w:rFonts w:ascii="Times New Roman" w:hAnsi="Times New Roman" w:cs="Times New Roman"/>
          <w:lang w:val="fr-CA"/>
        </w:rPr>
      </w:pPr>
    </w:p>
    <w:p w14:paraId="4D50C69C" w14:textId="54819A29" w:rsidR="00492F4A" w:rsidRPr="00B232E6" w:rsidRDefault="00492F4A" w:rsidP="00B232E6">
      <w:pPr>
        <w:jc w:val="both"/>
        <w:rPr>
          <w:rFonts w:ascii="Times New Roman" w:hAnsi="Times New Roman" w:cs="Times New Roman"/>
          <w:lang w:val="fr-CA"/>
        </w:rPr>
      </w:pPr>
      <w:r w:rsidRPr="00B232E6">
        <w:rPr>
          <w:rFonts w:ascii="Times New Roman" w:hAnsi="Times New Roman" w:cs="Times New Roman"/>
          <w:lang w:val="fr-CA"/>
        </w:rPr>
        <w:lastRenderedPageBreak/>
        <w:t xml:space="preserve">4- </w:t>
      </w:r>
      <w:r w:rsidR="008E6640" w:rsidRPr="008E6640">
        <w:rPr>
          <w:rFonts w:ascii="Times New Roman" w:hAnsi="Times New Roman" w:cs="Times New Roman"/>
          <w:b/>
          <w:bCs/>
          <w:i/>
          <w:iCs/>
          <w:lang w:val="fr-CA"/>
        </w:rPr>
        <w:t>(2pts)</w:t>
      </w:r>
      <w:r w:rsidR="008E6640">
        <w:rPr>
          <w:rFonts w:ascii="Times New Roman" w:hAnsi="Times New Roman" w:cs="Times New Roman"/>
          <w:lang w:val="fr-CA"/>
        </w:rPr>
        <w:t xml:space="preserve"> </w:t>
      </w:r>
      <w:r w:rsidRPr="00B232E6">
        <w:rPr>
          <w:rFonts w:ascii="Times New Roman" w:hAnsi="Times New Roman" w:cs="Times New Roman"/>
          <w:lang w:val="fr-CA"/>
        </w:rPr>
        <w:t>Quel est l’état actuel du recyclage de batteries au lithium dans le monde (électronique et véhicules) ?</w:t>
      </w:r>
      <w:r w:rsidR="008907B9">
        <w:rPr>
          <w:rFonts w:ascii="Times New Roman" w:hAnsi="Times New Roman" w:cs="Times New Roman"/>
          <w:lang w:val="fr-CA"/>
        </w:rPr>
        <w:t xml:space="preserve"> </w:t>
      </w:r>
      <w:r w:rsidR="008907B9">
        <w:rPr>
          <w:rFonts w:ascii="Times New Roman" w:hAnsi="Times New Roman" w:cs="Times New Roman"/>
          <w:lang w:val="fr-CA"/>
        </w:rPr>
        <w:t>(Max. une demi-page)</w:t>
      </w:r>
    </w:p>
    <w:p w14:paraId="3C4FB322" w14:textId="5C227AC4" w:rsidR="00492F4A" w:rsidRPr="00B232E6" w:rsidRDefault="00492F4A">
      <w:pPr>
        <w:rPr>
          <w:rFonts w:ascii="Times New Roman" w:hAnsi="Times New Roman" w:cs="Times New Roman"/>
          <w:lang w:val="fr-CA"/>
        </w:rPr>
      </w:pPr>
    </w:p>
    <w:p w14:paraId="31CC898B" w14:textId="77777777" w:rsidR="00492F4A" w:rsidRPr="00B232E6" w:rsidRDefault="00492F4A">
      <w:pPr>
        <w:rPr>
          <w:rFonts w:ascii="Times New Roman" w:hAnsi="Times New Roman" w:cs="Times New Roman"/>
          <w:lang w:val="fr-CA"/>
        </w:rPr>
      </w:pPr>
    </w:p>
    <w:p w14:paraId="597EDBA0" w14:textId="22FE145F" w:rsidR="00492F4A" w:rsidRPr="00B232E6" w:rsidRDefault="00492F4A">
      <w:pPr>
        <w:rPr>
          <w:rFonts w:ascii="Times New Roman" w:hAnsi="Times New Roman" w:cs="Times New Roman"/>
          <w:lang w:val="fr-CA"/>
        </w:rPr>
      </w:pPr>
    </w:p>
    <w:p w14:paraId="08604500" w14:textId="7043C539" w:rsidR="00492F4A" w:rsidRPr="00B232E6" w:rsidRDefault="00492F4A">
      <w:pPr>
        <w:rPr>
          <w:rFonts w:ascii="Times New Roman" w:hAnsi="Times New Roman" w:cs="Times New Roman"/>
          <w:lang w:val="fr-CA"/>
        </w:rPr>
      </w:pPr>
    </w:p>
    <w:p w14:paraId="72F20CB2" w14:textId="4ADE0592" w:rsidR="00492F4A" w:rsidRPr="00B232E6" w:rsidRDefault="00492F4A">
      <w:pPr>
        <w:rPr>
          <w:rFonts w:ascii="Times New Roman" w:hAnsi="Times New Roman" w:cs="Times New Roman"/>
          <w:lang w:val="fr-CA"/>
        </w:rPr>
      </w:pPr>
    </w:p>
    <w:p w14:paraId="23D0CA57" w14:textId="62AC7458" w:rsidR="00B57B61" w:rsidRPr="00B232E6" w:rsidRDefault="00B57B61">
      <w:pPr>
        <w:rPr>
          <w:rFonts w:ascii="Times New Roman" w:hAnsi="Times New Roman" w:cs="Times New Roman"/>
          <w:lang w:val="fr-CA"/>
        </w:rPr>
      </w:pPr>
    </w:p>
    <w:p w14:paraId="0CF84F3B" w14:textId="2D043631" w:rsidR="008627FD" w:rsidRPr="00B232E6" w:rsidRDefault="008627FD">
      <w:pPr>
        <w:rPr>
          <w:rFonts w:ascii="Times New Roman" w:hAnsi="Times New Roman" w:cs="Times New Roman"/>
          <w:lang w:val="fr-CA"/>
        </w:rPr>
      </w:pPr>
    </w:p>
    <w:p w14:paraId="159FD2A4" w14:textId="2F609314" w:rsidR="008627FD" w:rsidRPr="00B232E6" w:rsidRDefault="008627FD">
      <w:pPr>
        <w:rPr>
          <w:rFonts w:ascii="Times New Roman" w:hAnsi="Times New Roman" w:cs="Times New Roman"/>
          <w:lang w:val="fr-CA"/>
        </w:rPr>
      </w:pPr>
    </w:p>
    <w:p w14:paraId="26F73445" w14:textId="749CF1E9" w:rsidR="008627FD" w:rsidRPr="00B232E6" w:rsidRDefault="008627FD">
      <w:pPr>
        <w:rPr>
          <w:rFonts w:ascii="Times New Roman" w:hAnsi="Times New Roman" w:cs="Times New Roman"/>
          <w:lang w:val="fr-CA"/>
        </w:rPr>
      </w:pPr>
    </w:p>
    <w:p w14:paraId="43F97659" w14:textId="543E142A" w:rsidR="008627FD" w:rsidRPr="00B232E6" w:rsidRDefault="008627FD">
      <w:pPr>
        <w:rPr>
          <w:rFonts w:ascii="Times New Roman" w:hAnsi="Times New Roman" w:cs="Times New Roman"/>
          <w:lang w:val="fr-CA"/>
        </w:rPr>
      </w:pPr>
    </w:p>
    <w:p w14:paraId="6C98754F" w14:textId="2FD940AD" w:rsidR="008627FD" w:rsidRPr="00B232E6" w:rsidRDefault="008627FD">
      <w:pPr>
        <w:rPr>
          <w:rFonts w:ascii="Times New Roman" w:hAnsi="Times New Roman" w:cs="Times New Roman"/>
          <w:lang w:val="fr-CA"/>
        </w:rPr>
      </w:pPr>
    </w:p>
    <w:p w14:paraId="3C92F2C2" w14:textId="6C77C202" w:rsidR="008627FD" w:rsidRPr="00B232E6" w:rsidRDefault="008627FD">
      <w:pPr>
        <w:rPr>
          <w:rFonts w:ascii="Times New Roman" w:hAnsi="Times New Roman" w:cs="Times New Roman"/>
          <w:lang w:val="fr-CA"/>
        </w:rPr>
      </w:pPr>
    </w:p>
    <w:p w14:paraId="495AB625" w14:textId="380A872D" w:rsidR="008627FD" w:rsidRPr="00B232E6" w:rsidRDefault="008627FD">
      <w:pPr>
        <w:rPr>
          <w:rFonts w:ascii="Times New Roman" w:hAnsi="Times New Roman" w:cs="Times New Roman"/>
          <w:lang w:val="fr-CA"/>
        </w:rPr>
      </w:pPr>
    </w:p>
    <w:p w14:paraId="06F0AC1B" w14:textId="77777777" w:rsidR="008627FD" w:rsidRPr="00B232E6" w:rsidRDefault="008627FD">
      <w:pPr>
        <w:rPr>
          <w:rFonts w:ascii="Times New Roman" w:hAnsi="Times New Roman" w:cs="Times New Roman"/>
          <w:lang w:val="fr-CA"/>
        </w:rPr>
      </w:pPr>
    </w:p>
    <w:p w14:paraId="54B29426" w14:textId="53B3AA89" w:rsidR="00492F4A" w:rsidRPr="00B232E6" w:rsidRDefault="00492F4A" w:rsidP="00B232E6">
      <w:pPr>
        <w:jc w:val="both"/>
        <w:rPr>
          <w:rFonts w:ascii="Times New Roman" w:hAnsi="Times New Roman" w:cs="Times New Roman"/>
          <w:lang w:val="fr-CA"/>
        </w:rPr>
      </w:pPr>
      <w:r w:rsidRPr="00B232E6">
        <w:rPr>
          <w:rFonts w:ascii="Times New Roman" w:hAnsi="Times New Roman" w:cs="Times New Roman"/>
          <w:lang w:val="fr-CA"/>
        </w:rPr>
        <w:t xml:space="preserve">5- </w:t>
      </w:r>
      <w:r w:rsidR="008E6640" w:rsidRPr="008E6640">
        <w:rPr>
          <w:rFonts w:ascii="Times New Roman" w:hAnsi="Times New Roman" w:cs="Times New Roman"/>
          <w:b/>
          <w:bCs/>
          <w:i/>
          <w:iCs/>
          <w:lang w:val="fr-CA"/>
        </w:rPr>
        <w:t>(2pts)</w:t>
      </w:r>
      <w:r w:rsidR="008E6640">
        <w:rPr>
          <w:rFonts w:ascii="Times New Roman" w:hAnsi="Times New Roman" w:cs="Times New Roman"/>
          <w:lang w:val="fr-CA"/>
        </w:rPr>
        <w:t xml:space="preserve"> </w:t>
      </w:r>
      <w:r w:rsidRPr="00B232E6">
        <w:rPr>
          <w:rFonts w:ascii="Times New Roman" w:hAnsi="Times New Roman" w:cs="Times New Roman"/>
          <w:lang w:val="fr-CA"/>
        </w:rPr>
        <w:t>Considérant les données et informations présentées dans les questions précédentes et toute autre information ou considération politique, sociétale, environnementale</w:t>
      </w:r>
      <w:r w:rsidR="00221C7F" w:rsidRPr="00B232E6">
        <w:rPr>
          <w:rFonts w:ascii="Times New Roman" w:hAnsi="Times New Roman" w:cs="Times New Roman"/>
          <w:lang w:val="fr-CA"/>
        </w:rPr>
        <w:t>, ou de développement durable</w:t>
      </w:r>
      <w:r w:rsidRPr="00B232E6">
        <w:rPr>
          <w:rFonts w:ascii="Times New Roman" w:hAnsi="Times New Roman" w:cs="Times New Roman"/>
          <w:lang w:val="fr-CA"/>
        </w:rPr>
        <w:t xml:space="preserve"> que vous jugeriez pertinente et tenant compte des tendances à prévoir pour la demande</w:t>
      </w:r>
      <w:r w:rsidR="00221C7F" w:rsidRPr="00B232E6">
        <w:rPr>
          <w:rFonts w:ascii="Times New Roman" w:hAnsi="Times New Roman" w:cs="Times New Roman"/>
          <w:lang w:val="fr-CA"/>
        </w:rPr>
        <w:t xml:space="preserve"> et</w:t>
      </w:r>
      <w:r w:rsidRPr="00B232E6">
        <w:rPr>
          <w:rFonts w:ascii="Times New Roman" w:hAnsi="Times New Roman" w:cs="Times New Roman"/>
          <w:lang w:val="fr-CA"/>
        </w:rPr>
        <w:t xml:space="preserve"> la production </w:t>
      </w:r>
      <w:r w:rsidR="00221C7F" w:rsidRPr="00B232E6">
        <w:rPr>
          <w:rFonts w:ascii="Times New Roman" w:hAnsi="Times New Roman" w:cs="Times New Roman"/>
          <w:lang w:val="fr-CA"/>
        </w:rPr>
        <w:t xml:space="preserve">du lithium </w:t>
      </w:r>
      <w:r w:rsidRPr="00B232E6">
        <w:rPr>
          <w:rFonts w:ascii="Times New Roman" w:hAnsi="Times New Roman" w:cs="Times New Roman"/>
          <w:lang w:val="fr-CA"/>
        </w:rPr>
        <w:t>et le recyclage</w:t>
      </w:r>
      <w:r w:rsidR="00221C7F" w:rsidRPr="00B232E6">
        <w:rPr>
          <w:rFonts w:ascii="Times New Roman" w:hAnsi="Times New Roman" w:cs="Times New Roman"/>
          <w:lang w:val="fr-CA"/>
        </w:rPr>
        <w:t xml:space="preserve"> des batteries</w:t>
      </w:r>
      <w:r w:rsidRPr="00B232E6">
        <w:rPr>
          <w:rFonts w:ascii="Times New Roman" w:hAnsi="Times New Roman" w:cs="Times New Roman"/>
          <w:lang w:val="fr-CA"/>
        </w:rPr>
        <w:t xml:space="preserve">, seriez-vous plutôt en faveur ou </w:t>
      </w:r>
      <w:r w:rsidR="00221C7F" w:rsidRPr="00B232E6">
        <w:rPr>
          <w:rFonts w:ascii="Times New Roman" w:hAnsi="Times New Roman" w:cs="Times New Roman"/>
          <w:lang w:val="fr-CA"/>
        </w:rPr>
        <w:t xml:space="preserve">plutôt </w:t>
      </w:r>
      <w:r w:rsidRPr="00B232E6">
        <w:rPr>
          <w:rFonts w:ascii="Times New Roman" w:hAnsi="Times New Roman" w:cs="Times New Roman"/>
          <w:lang w:val="fr-CA"/>
        </w:rPr>
        <w:t xml:space="preserve">opposé à un investissement </w:t>
      </w:r>
      <w:r w:rsidRPr="00B232E6">
        <w:rPr>
          <w:rFonts w:ascii="Times New Roman" w:hAnsi="Times New Roman" w:cs="Times New Roman"/>
          <w:i/>
          <w:iCs/>
          <w:u w:val="single"/>
          <w:lang w:val="fr-CA"/>
        </w:rPr>
        <w:t>direct</w:t>
      </w:r>
      <w:r w:rsidRPr="00B232E6">
        <w:rPr>
          <w:rFonts w:ascii="Times New Roman" w:hAnsi="Times New Roman" w:cs="Times New Roman"/>
          <w:lang w:val="fr-CA"/>
        </w:rPr>
        <w:t xml:space="preserve"> de l’état </w:t>
      </w:r>
      <w:r w:rsidR="00221C7F" w:rsidRPr="00B232E6">
        <w:rPr>
          <w:rFonts w:ascii="Times New Roman" w:hAnsi="Times New Roman" w:cs="Times New Roman"/>
          <w:lang w:val="fr-CA"/>
        </w:rPr>
        <w:t xml:space="preserve">(i.e. subvention ou prise de partenariat) </w:t>
      </w:r>
      <w:r w:rsidRPr="00B232E6">
        <w:rPr>
          <w:rFonts w:ascii="Times New Roman" w:hAnsi="Times New Roman" w:cs="Times New Roman"/>
          <w:lang w:val="fr-CA"/>
        </w:rPr>
        <w:t xml:space="preserve">pour la mise en production d’un </w:t>
      </w:r>
      <w:r w:rsidR="00221C7F" w:rsidRPr="00B232E6">
        <w:rPr>
          <w:rFonts w:ascii="Times New Roman" w:hAnsi="Times New Roman" w:cs="Times New Roman"/>
          <w:lang w:val="fr-CA"/>
        </w:rPr>
        <w:t xml:space="preserve">ou </w:t>
      </w:r>
      <w:r w:rsidRPr="00B232E6">
        <w:rPr>
          <w:rFonts w:ascii="Times New Roman" w:hAnsi="Times New Roman" w:cs="Times New Roman"/>
          <w:lang w:val="fr-CA"/>
        </w:rPr>
        <w:t xml:space="preserve">des deux projets de lithium québécois ?  (Présentez vos arguments </w:t>
      </w:r>
      <w:r w:rsidR="00221C7F" w:rsidRPr="00B232E6">
        <w:rPr>
          <w:rFonts w:ascii="Times New Roman" w:hAnsi="Times New Roman" w:cs="Times New Roman"/>
          <w:lang w:val="fr-CA"/>
        </w:rPr>
        <w:t xml:space="preserve">clairement </w:t>
      </w:r>
      <w:r w:rsidRPr="00B232E6">
        <w:rPr>
          <w:rFonts w:ascii="Times New Roman" w:hAnsi="Times New Roman" w:cs="Times New Roman"/>
          <w:lang w:val="fr-CA"/>
        </w:rPr>
        <w:t>en les étayant le plus possible</w:t>
      </w:r>
      <w:r w:rsidR="00221C7F" w:rsidRPr="00B232E6">
        <w:rPr>
          <w:rFonts w:ascii="Times New Roman" w:hAnsi="Times New Roman" w:cs="Times New Roman"/>
          <w:lang w:val="fr-CA"/>
        </w:rPr>
        <w:t xml:space="preserve"> (indiquez les références)</w:t>
      </w:r>
      <w:r w:rsidRPr="00B232E6">
        <w:rPr>
          <w:rFonts w:ascii="Times New Roman" w:hAnsi="Times New Roman" w:cs="Times New Roman"/>
          <w:lang w:val="fr-CA"/>
        </w:rPr>
        <w:t xml:space="preserve">. Les deux choix </w:t>
      </w:r>
      <w:r w:rsidR="00221C7F" w:rsidRPr="00B232E6">
        <w:rPr>
          <w:rFonts w:ascii="Times New Roman" w:hAnsi="Times New Roman" w:cs="Times New Roman"/>
          <w:lang w:val="fr-CA"/>
        </w:rPr>
        <w:t xml:space="preserve">(en faveur ou non) </w:t>
      </w:r>
      <w:r w:rsidRPr="00B232E6">
        <w:rPr>
          <w:rFonts w:ascii="Times New Roman" w:hAnsi="Times New Roman" w:cs="Times New Roman"/>
          <w:lang w:val="fr-CA"/>
        </w:rPr>
        <w:t>peuvent être valides.</w:t>
      </w:r>
      <w:r w:rsidR="008907B9" w:rsidRPr="008907B9">
        <w:rPr>
          <w:rFonts w:ascii="Times New Roman" w:hAnsi="Times New Roman" w:cs="Times New Roman"/>
          <w:lang w:val="fr-CA"/>
        </w:rPr>
        <w:t xml:space="preserve"> </w:t>
      </w:r>
      <w:r w:rsidR="008907B9">
        <w:rPr>
          <w:rFonts w:ascii="Times New Roman" w:hAnsi="Times New Roman" w:cs="Times New Roman"/>
          <w:lang w:val="fr-CA"/>
        </w:rPr>
        <w:t>(Max. une page)</w:t>
      </w:r>
    </w:p>
    <w:p w14:paraId="50A15E89" w14:textId="59B47F37" w:rsidR="00492F4A" w:rsidRDefault="00492F4A">
      <w:pPr>
        <w:rPr>
          <w:lang w:val="fr-CA"/>
        </w:rPr>
      </w:pPr>
    </w:p>
    <w:sectPr w:rsidR="00492F4A" w:rsidSect="00AB3B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B87FF" w14:textId="77777777" w:rsidR="0043451F" w:rsidRDefault="0043451F" w:rsidP="00B232E6">
      <w:pPr>
        <w:spacing w:after="0" w:line="240" w:lineRule="auto"/>
      </w:pPr>
      <w:r>
        <w:separator/>
      </w:r>
    </w:p>
  </w:endnote>
  <w:endnote w:type="continuationSeparator" w:id="0">
    <w:p w14:paraId="646BB0F4" w14:textId="77777777" w:rsidR="0043451F" w:rsidRDefault="0043451F" w:rsidP="00B23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C380B" w14:textId="77777777" w:rsidR="005840CD" w:rsidRDefault="005840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76C40" w14:textId="77777777" w:rsidR="005840CD" w:rsidRDefault="005840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0E36" w14:textId="77777777" w:rsidR="005840CD" w:rsidRDefault="00584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E44F2" w14:textId="77777777" w:rsidR="0043451F" w:rsidRDefault="0043451F" w:rsidP="00B232E6">
      <w:pPr>
        <w:spacing w:after="0" w:line="240" w:lineRule="auto"/>
      </w:pPr>
      <w:r>
        <w:separator/>
      </w:r>
    </w:p>
  </w:footnote>
  <w:footnote w:type="continuationSeparator" w:id="0">
    <w:p w14:paraId="29E02C87" w14:textId="77777777" w:rsidR="0043451F" w:rsidRDefault="0043451F" w:rsidP="00B23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208E" w14:textId="77777777" w:rsidR="005840CD" w:rsidRDefault="005840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3DD1" w14:textId="63A6A587" w:rsidR="00B232E6" w:rsidRDefault="00B232E6" w:rsidP="00B232E6">
    <w:pPr>
      <w:pStyle w:val="Heading1"/>
      <w:tabs>
        <w:tab w:val="clear" w:pos="4820"/>
        <w:tab w:val="clear" w:pos="8789"/>
        <w:tab w:val="center" w:pos="4536"/>
        <w:tab w:val="right" w:pos="9214"/>
      </w:tabs>
      <w:jc w:val="both"/>
      <w:rPr>
        <w:bCs/>
      </w:rPr>
    </w:pPr>
    <w:bookmarkStart w:id="0" w:name="_Hlk86313146"/>
    <w:r>
      <w:rPr>
        <w:bCs/>
      </w:rPr>
      <w:t xml:space="preserve">GLQ3401/GLQ3651    </w:t>
    </w:r>
    <w:r>
      <w:rPr>
        <w:bCs/>
      </w:rPr>
      <w:tab/>
      <w:t xml:space="preserve">TP1 – Introduction - </w:t>
    </w:r>
    <w:r w:rsidR="005840CD">
      <w:rPr>
        <w:bCs/>
      </w:rPr>
      <w:t>S</w:t>
    </w:r>
    <w:r>
      <w:rPr>
        <w:bCs/>
      </w:rPr>
      <w:t>ituation du lithium au Québec</w:t>
    </w:r>
    <w:r>
      <w:rPr>
        <w:bCs/>
      </w:rPr>
      <w:tab/>
    </w:r>
    <w:r w:rsidR="008E6640">
      <w:rPr>
        <w:bCs/>
      </w:rPr>
      <w:t xml:space="preserve">                  </w:t>
    </w:r>
    <w:r>
      <w:rPr>
        <w:bCs/>
      </w:rPr>
      <w:t>A</w:t>
    </w:r>
    <w:r w:rsidR="00B55AE0">
      <w:rPr>
        <w:bCs/>
      </w:rPr>
      <w:t>.</w:t>
    </w:r>
    <w:r>
      <w:rPr>
        <w:bCs/>
      </w:rPr>
      <w:t>202</w:t>
    </w:r>
    <w:bookmarkEnd w:id="0"/>
    <w:r w:rsidR="00F817D2">
      <w:rPr>
        <w:bCs/>
      </w:rPr>
      <w:t>3</w:t>
    </w:r>
    <w:r w:rsidR="008E6640">
      <w:rPr>
        <w:bCs/>
      </w:rPr>
      <w:t xml:space="preserve">      </w:t>
    </w:r>
    <w:r w:rsidR="00B55AE0">
      <w:rPr>
        <w:bCs/>
      </w:rPr>
      <w:t xml:space="preserve">            </w:t>
    </w:r>
    <w:r w:rsidR="008E6640">
      <w:rPr>
        <w:bCs/>
      </w:rPr>
      <w:t>/10</w:t>
    </w:r>
  </w:p>
  <w:p w14:paraId="05F8A017" w14:textId="077C3F37" w:rsidR="00B232E6" w:rsidRPr="00B232E6" w:rsidRDefault="005840CD" w:rsidP="005840CD">
    <w:pPr>
      <w:tabs>
        <w:tab w:val="left" w:pos="4536"/>
      </w:tabs>
      <w:rPr>
        <w:b/>
        <w:bCs/>
        <w:lang w:val="fr-CA"/>
      </w:rPr>
    </w:pPr>
    <w:r>
      <w:rPr>
        <w:b/>
        <w:bCs/>
        <w:lang w:val="fr-C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31D15" w14:textId="77777777" w:rsidR="005840CD" w:rsidRDefault="005840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8B"/>
    <w:rsid w:val="001F4E5F"/>
    <w:rsid w:val="00221C7F"/>
    <w:rsid w:val="002C13AD"/>
    <w:rsid w:val="003C77F7"/>
    <w:rsid w:val="003F633D"/>
    <w:rsid w:val="0043451F"/>
    <w:rsid w:val="00492F4A"/>
    <w:rsid w:val="00504097"/>
    <w:rsid w:val="005840CD"/>
    <w:rsid w:val="00662F35"/>
    <w:rsid w:val="00670249"/>
    <w:rsid w:val="006A1066"/>
    <w:rsid w:val="006E744C"/>
    <w:rsid w:val="0074293C"/>
    <w:rsid w:val="007601FD"/>
    <w:rsid w:val="00791A35"/>
    <w:rsid w:val="007B5749"/>
    <w:rsid w:val="008627FD"/>
    <w:rsid w:val="008907B9"/>
    <w:rsid w:val="008E6640"/>
    <w:rsid w:val="00933578"/>
    <w:rsid w:val="00964AFD"/>
    <w:rsid w:val="00982145"/>
    <w:rsid w:val="00984F89"/>
    <w:rsid w:val="0099569E"/>
    <w:rsid w:val="009C462A"/>
    <w:rsid w:val="00A2287B"/>
    <w:rsid w:val="00A44600"/>
    <w:rsid w:val="00AB3BF4"/>
    <w:rsid w:val="00B232E6"/>
    <w:rsid w:val="00B55AE0"/>
    <w:rsid w:val="00B57B61"/>
    <w:rsid w:val="00BA0D41"/>
    <w:rsid w:val="00C43210"/>
    <w:rsid w:val="00C5616C"/>
    <w:rsid w:val="00CD3C8B"/>
    <w:rsid w:val="00DF62F0"/>
    <w:rsid w:val="00F16B92"/>
    <w:rsid w:val="00F817D2"/>
    <w:rsid w:val="00F83BDF"/>
    <w:rsid w:val="00FA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D6449B"/>
  <w15:chartTrackingRefBased/>
  <w15:docId w15:val="{7C963C02-8709-40E7-8D67-8B14F82E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232E6"/>
    <w:pPr>
      <w:keepNext/>
      <w:tabs>
        <w:tab w:val="center" w:pos="4820"/>
        <w:tab w:val="right" w:pos="8789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2F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F4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3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2E6"/>
  </w:style>
  <w:style w:type="paragraph" w:styleId="Footer">
    <w:name w:val="footer"/>
    <w:basedOn w:val="Normal"/>
    <w:link w:val="FooterChar"/>
    <w:uiPriority w:val="99"/>
    <w:unhideWhenUsed/>
    <w:rsid w:val="00B23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2E6"/>
  </w:style>
  <w:style w:type="character" w:customStyle="1" w:styleId="Heading1Char">
    <w:name w:val="Heading 1 Char"/>
    <w:basedOn w:val="DefaultParagraphFont"/>
    <w:link w:val="Heading1"/>
    <w:rsid w:val="00B232E6"/>
    <w:rPr>
      <w:rFonts w:ascii="Times New Roman" w:eastAsia="Times New Roman" w:hAnsi="Times New Roman" w:cs="Times New Roman"/>
      <w:b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sayonamining.com.au/authier-project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a.gov.au/scientific-topics/minerals/mineral-resources-and-advice/australian-resource-reviews/lithiu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marcotte</dc:creator>
  <cp:keywords/>
  <dc:description/>
  <cp:lastModifiedBy>dany lauzon</cp:lastModifiedBy>
  <cp:revision>17</cp:revision>
  <cp:lastPrinted>2020-07-17T20:38:00Z</cp:lastPrinted>
  <dcterms:created xsi:type="dcterms:W3CDTF">2021-08-22T18:49:00Z</dcterms:created>
  <dcterms:modified xsi:type="dcterms:W3CDTF">2023-08-24T19:12:00Z</dcterms:modified>
</cp:coreProperties>
</file>